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21540"/>
        <w:docPartObj>
          <w:docPartGallery w:val="Cover Pages"/>
          <w:docPartUnique/>
        </w:docPartObj>
      </w:sdtPr>
      <w:sdtEndPr>
        <w:rPr>
          <w:lang w:val="fi-FI"/>
        </w:rPr>
      </w:sdtEndPr>
      <w:sdtContent>
        <w:p w:rsidR="003A6325" w:rsidRDefault="003A6325"/>
        <w:p w:rsidR="003A6325" w:rsidRDefault="003A6325">
          <w:pPr>
            <w:rPr>
              <w:lang w:val="fi-FI"/>
            </w:rPr>
          </w:pPr>
          <w:r>
            <w:rPr>
              <w:noProof/>
            </w:rPr>
            <mc:AlternateContent>
              <mc:Choice Requires="wps">
                <w:drawing>
                  <wp:anchor distT="0" distB="0" distL="182880" distR="182880" simplePos="0" relativeHeight="251660288" behindDoc="0" locked="0" layoutInCell="1" allowOverlap="1">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kstiruut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6325" w:rsidRPr="003A6325" w:rsidRDefault="00A41DC5">
                                <w:pPr>
                                  <w:pStyle w:val="NoSpacing"/>
                                  <w:spacing w:before="40" w:after="560" w:line="216" w:lineRule="auto"/>
                                  <w:rPr>
                                    <w:color w:val="4472C4" w:themeColor="accent1"/>
                                    <w:sz w:val="72"/>
                                    <w:szCs w:val="72"/>
                                    <w:lang w:val="fi-FI"/>
                                  </w:rPr>
                                </w:pPr>
                                <w:sdt>
                                  <w:sdtPr>
                                    <w:rPr>
                                      <w:color w:val="4472C4" w:themeColor="accent1"/>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3A6325">
                                      <w:rPr>
                                        <w:color w:val="4472C4" w:themeColor="accent1"/>
                                        <w:sz w:val="72"/>
                                        <w:szCs w:val="72"/>
                                      </w:rPr>
                                      <w:t>Korkeakoulusarjan</w:t>
                                    </w:r>
                                    <w:proofErr w:type="spellEnd"/>
                                    <w:r w:rsidR="003A6325">
                                      <w:rPr>
                                        <w:color w:val="4472C4" w:themeColor="accent1"/>
                                        <w:sz w:val="72"/>
                                        <w:szCs w:val="72"/>
                                      </w:rPr>
                                      <w:t xml:space="preserve"> </w:t>
                                    </w:r>
                                    <w:proofErr w:type="spellStart"/>
                                    <w:r w:rsidR="003A6325">
                                      <w:rPr>
                                        <w:color w:val="4472C4" w:themeColor="accent1"/>
                                        <w:sz w:val="72"/>
                                        <w:szCs w:val="72"/>
                                      </w:rPr>
                                      <w:t>sarjakirja</w:t>
                                    </w:r>
                                    <w:proofErr w:type="spellEnd"/>
                                    <w:r w:rsidR="003A6325">
                                      <w:rPr>
                                        <w:color w:val="4472C4" w:themeColor="accent1"/>
                                        <w:sz w:val="72"/>
                                        <w:szCs w:val="72"/>
                                      </w:rPr>
                                      <w:t xml:space="preserve"> </w:t>
                                    </w:r>
                                    <w:r w:rsidR="00F76834">
                                      <w:rPr>
                                        <w:color w:val="4472C4" w:themeColor="accent1"/>
                                        <w:sz w:val="72"/>
                                        <w:szCs w:val="72"/>
                                      </w:rPr>
                                      <w:t>2020</w:t>
                                    </w:r>
                                  </w:sdtContent>
                                </w:sdt>
                              </w:p>
                              <w:sdt>
                                <w:sdtPr>
                                  <w:rPr>
                                    <w:caps/>
                                    <w:color w:val="1F4E79" w:themeColor="accent5" w:themeShade="80"/>
                                    <w:sz w:val="28"/>
                                    <w:szCs w:val="28"/>
                                  </w:rPr>
                                  <w:alias w:val="Alaotsikko"/>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rsidR="003A6325" w:rsidRPr="003A6325" w:rsidRDefault="003A6325">
                                    <w:pPr>
                                      <w:pStyle w:val="NoSpacing"/>
                                      <w:spacing w:before="40" w:after="40"/>
                                      <w:rPr>
                                        <w:caps/>
                                        <w:color w:val="1F4E79" w:themeColor="accent5" w:themeShade="80"/>
                                        <w:sz w:val="28"/>
                                        <w:szCs w:val="28"/>
                                        <w:lang w:val="fi-FI"/>
                                      </w:rPr>
                                    </w:pPr>
                                    <w:r>
                                      <w:rPr>
                                        <w:caps/>
                                        <w:color w:val="1F4E79" w:themeColor="accent5" w:themeShade="80"/>
                                        <w:sz w:val="28"/>
                                        <w:szCs w:val="28"/>
                                      </w:rPr>
                                      <w:t xml:space="preserve">     </w:t>
                                    </w:r>
                                  </w:p>
                                </w:sdtContent>
                              </w:sdt>
                              <w:sdt>
                                <w:sdtPr>
                                  <w:rPr>
                                    <w:caps/>
                                    <w:color w:val="5B9BD5" w:themeColor="accent5"/>
                                    <w:sz w:val="24"/>
                                    <w:szCs w:val="24"/>
                                    <w:lang w:val="fi-FI"/>
                                  </w:rPr>
                                  <w:alias w:val="Tekijä"/>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3A6325" w:rsidRPr="003A6325" w:rsidRDefault="00F76834">
                                    <w:pPr>
                                      <w:pStyle w:val="NoSpacing"/>
                                      <w:spacing w:before="80" w:after="40"/>
                                      <w:rPr>
                                        <w:caps/>
                                        <w:color w:val="5B9BD5" w:themeColor="accent5"/>
                                        <w:sz w:val="24"/>
                                        <w:szCs w:val="24"/>
                                        <w:lang w:val="fi-FI"/>
                                      </w:rPr>
                                    </w:pPr>
                                    <w:r>
                                      <w:rPr>
                                        <w:caps/>
                                        <w:color w:val="5B9BD5" w:themeColor="accent5"/>
                                        <w:sz w:val="24"/>
                                        <w:szCs w:val="24"/>
                                        <w:lang w:val="fi-FI"/>
                                      </w:rPr>
                                      <w:t>JK</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kstiruutu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" filled="f" stroked="f" strokeweight=".5pt">
                    <v:textbox style="mso-fit-shape-to-text:t" inset="0,0,0,0">
                      <w:txbxContent>
                        <w:p w:rsidR="003A6325" w:rsidRPr="003A6325" w:rsidRDefault="00F56521">
                          <w:pPr>
                            <w:pStyle w:val="NoSpacing"/>
                            <w:spacing w:before="40" w:after="560" w:line="216" w:lineRule="auto"/>
                            <w:rPr>
                              <w:color w:val="4472C4" w:themeColor="accent1"/>
                              <w:sz w:val="72"/>
                              <w:szCs w:val="72"/>
                              <w:lang w:val="fi-FI"/>
                            </w:rPr>
                          </w:pPr>
                          <w:sdt>
                            <w:sdtPr>
                              <w:rPr>
                                <w:color w:val="4472C4" w:themeColor="accent1"/>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3A6325">
                                <w:rPr>
                                  <w:color w:val="4472C4" w:themeColor="accent1"/>
                                  <w:sz w:val="72"/>
                                  <w:szCs w:val="72"/>
                                </w:rPr>
                                <w:t>Korkeakoulusarjan</w:t>
                              </w:r>
                              <w:proofErr w:type="spellEnd"/>
                              <w:r w:rsidR="003A6325">
                                <w:rPr>
                                  <w:color w:val="4472C4" w:themeColor="accent1"/>
                                  <w:sz w:val="72"/>
                                  <w:szCs w:val="72"/>
                                </w:rPr>
                                <w:t xml:space="preserve"> </w:t>
                              </w:r>
                              <w:proofErr w:type="spellStart"/>
                              <w:r w:rsidR="003A6325">
                                <w:rPr>
                                  <w:color w:val="4472C4" w:themeColor="accent1"/>
                                  <w:sz w:val="72"/>
                                  <w:szCs w:val="72"/>
                                </w:rPr>
                                <w:t>sarjakirja</w:t>
                              </w:r>
                              <w:proofErr w:type="spellEnd"/>
                              <w:r w:rsidR="003A6325">
                                <w:rPr>
                                  <w:color w:val="4472C4" w:themeColor="accent1"/>
                                  <w:sz w:val="72"/>
                                  <w:szCs w:val="72"/>
                                </w:rPr>
                                <w:t xml:space="preserve"> </w:t>
                              </w:r>
                              <w:r w:rsidR="00F76834">
                                <w:rPr>
                                  <w:color w:val="4472C4" w:themeColor="accent1"/>
                                  <w:sz w:val="72"/>
                                  <w:szCs w:val="72"/>
                                </w:rPr>
                                <w:t>2020</w:t>
                              </w:r>
                            </w:sdtContent>
                          </w:sdt>
                        </w:p>
                        <w:sdt>
                          <w:sdtPr>
                            <w:rPr>
                              <w:caps/>
                              <w:color w:val="1F4E79" w:themeColor="accent5" w:themeShade="80"/>
                              <w:sz w:val="28"/>
                              <w:szCs w:val="28"/>
                            </w:rPr>
                            <w:alias w:val="Alaotsikko"/>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rsidR="003A6325" w:rsidRPr="003A6325" w:rsidRDefault="003A6325">
                              <w:pPr>
                                <w:pStyle w:val="NoSpacing"/>
                                <w:spacing w:before="40" w:after="40"/>
                                <w:rPr>
                                  <w:caps/>
                                  <w:color w:val="1F4E79" w:themeColor="accent5" w:themeShade="80"/>
                                  <w:sz w:val="28"/>
                                  <w:szCs w:val="28"/>
                                  <w:lang w:val="fi-FI"/>
                                </w:rPr>
                              </w:pPr>
                              <w:r>
                                <w:rPr>
                                  <w:caps/>
                                  <w:color w:val="1F4E79" w:themeColor="accent5" w:themeShade="80"/>
                                  <w:sz w:val="28"/>
                                  <w:szCs w:val="28"/>
                                </w:rPr>
                                <w:t xml:space="preserve">     </w:t>
                              </w:r>
                            </w:p>
                          </w:sdtContent>
                        </w:sdt>
                        <w:sdt>
                          <w:sdtPr>
                            <w:rPr>
                              <w:caps/>
                              <w:color w:val="5B9BD5" w:themeColor="accent5"/>
                              <w:sz w:val="24"/>
                              <w:szCs w:val="24"/>
                              <w:lang w:val="fi-FI"/>
                            </w:rPr>
                            <w:alias w:val="Tekijä"/>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3A6325" w:rsidRPr="003A6325" w:rsidRDefault="00F76834">
                              <w:pPr>
                                <w:pStyle w:val="NoSpacing"/>
                                <w:spacing w:before="80" w:after="40"/>
                                <w:rPr>
                                  <w:caps/>
                                  <w:color w:val="5B9BD5" w:themeColor="accent5"/>
                                  <w:sz w:val="24"/>
                                  <w:szCs w:val="24"/>
                                  <w:lang w:val="fi-FI"/>
                                </w:rPr>
                              </w:pPr>
                              <w:r>
                                <w:rPr>
                                  <w:caps/>
                                  <w:color w:val="5B9BD5" w:themeColor="accent5"/>
                                  <w:sz w:val="24"/>
                                  <w:szCs w:val="24"/>
                                  <w:lang w:val="fi-FI"/>
                                </w:rPr>
                                <w:t>JK</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Suorakulmi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Vuosi"/>
                                  <w:tag w:val=""/>
                                  <w:id w:val="-785116381"/>
                                  <w:dataBinding w:prefixMappings="xmlns:ns0='http://schemas.microsoft.com/office/2006/coverPageProps' " w:xpath="/ns0:CoverPageProperties[1]/ns0:PublishDate[1]" w:storeItemID="{55AF091B-3C7A-41E3-B477-F2FDAA23CFDA}"/>
                                  <w:date w:fullDate="2020-01-01T00:00:00Z">
                                    <w:dateFormat w:val="yyyy"/>
                                    <w:lid w:val="fi-FI"/>
                                    <w:storeMappedDataAs w:val="dateTime"/>
                                    <w:calendar w:val="gregorian"/>
                                  </w:date>
                                </w:sdtPr>
                                <w:sdtEndPr/>
                                <w:sdtContent>
                                  <w:p w:rsidR="003A6325" w:rsidRDefault="003A6325">
                                    <w:pPr>
                                      <w:pStyle w:val="NoSpacing"/>
                                      <w:jc w:val="right"/>
                                      <w:rPr>
                                        <w:color w:val="FFFFFF" w:themeColor="background1"/>
                                        <w:sz w:val="24"/>
                                        <w:szCs w:val="24"/>
                                      </w:rPr>
                                    </w:pPr>
                                    <w:r>
                                      <w:rPr>
                                        <w:color w:val="FFFFFF" w:themeColor="background1"/>
                                        <w:sz w:val="24"/>
                                        <w:szCs w:val="24"/>
                                      </w:rPr>
                                      <w:t>20</w:t>
                                    </w:r>
                                    <w:r w:rsidR="00E0217F">
                                      <w:rPr>
                                        <w:color w:val="FFFFFF" w:themeColor="background1"/>
                                        <w:sz w:val="24"/>
                                        <w:szCs w:val="24"/>
                                      </w:rPr>
                                      <w:t>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Suorakulmi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" fillcolor="#4472c4 [3204]" stroked="f" strokeweight="1pt">
                    <v:path arrowok="t"/>
                    <o:lock v:ext="edit" aspectratio="t"/>
                    <v:textbox inset="3.6pt,,3.6pt">
                      <w:txbxContent>
                        <w:sdt>
                          <w:sdtPr>
                            <w:rPr>
                              <w:color w:val="FFFFFF" w:themeColor="background1"/>
                              <w:sz w:val="24"/>
                              <w:szCs w:val="24"/>
                            </w:rPr>
                            <w:alias w:val="Vuosi"/>
                            <w:tag w:val=""/>
                            <w:id w:val="-785116381"/>
                            <w:dataBinding w:prefixMappings="xmlns:ns0='http://schemas.microsoft.com/office/2006/coverPageProps' " w:xpath="/ns0:CoverPageProperties[1]/ns0:PublishDate[1]" w:storeItemID="{55AF091B-3C7A-41E3-B477-F2FDAA23CFDA}"/>
                            <w:date w:fullDate="2020-01-01T00:00:00Z">
                              <w:dateFormat w:val="yyyy"/>
                              <w:lid w:val="fi-FI"/>
                              <w:storeMappedDataAs w:val="dateTime"/>
                              <w:calendar w:val="gregorian"/>
                            </w:date>
                          </w:sdtPr>
                          <w:sdtEndPr/>
                          <w:sdtContent>
                            <w:p w:rsidR="003A6325" w:rsidRDefault="003A6325">
                              <w:pPr>
                                <w:pStyle w:val="NoSpacing"/>
                                <w:jc w:val="right"/>
                                <w:rPr>
                                  <w:color w:val="FFFFFF" w:themeColor="background1"/>
                                  <w:sz w:val="24"/>
                                  <w:szCs w:val="24"/>
                                </w:rPr>
                              </w:pPr>
                              <w:r>
                                <w:rPr>
                                  <w:color w:val="FFFFFF" w:themeColor="background1"/>
                                  <w:sz w:val="24"/>
                                  <w:szCs w:val="24"/>
                                </w:rPr>
                                <w:t>20</w:t>
                              </w:r>
                              <w:r w:rsidR="00E0217F">
                                <w:rPr>
                                  <w:color w:val="FFFFFF" w:themeColor="background1"/>
                                  <w:sz w:val="24"/>
                                  <w:szCs w:val="24"/>
                                </w:rPr>
                                <w:t>20</w:t>
                              </w:r>
                            </w:p>
                          </w:sdtContent>
                        </w:sdt>
                      </w:txbxContent>
                    </v:textbox>
                    <w10:wrap anchorx="margin" anchory="page"/>
                  </v:rect>
                </w:pict>
              </mc:Fallback>
            </mc:AlternateContent>
          </w:r>
          <w:r>
            <w:rPr>
              <w:lang w:val="fi-FI"/>
            </w:rPr>
            <w:br w:type="page"/>
          </w:r>
        </w:p>
        <w:bookmarkStart w:id="0" w:name="_GoBack" w:displacedByCustomXml="next"/>
        <w:bookmarkEnd w:id="0" w:displacedByCustomXml="next"/>
      </w:sdtContent>
    </w:sdt>
    <w:sdt>
      <w:sdtPr>
        <w:rPr>
          <w:rFonts w:asciiTheme="minorHAnsi" w:eastAsiaTheme="minorHAnsi" w:hAnsiTheme="minorHAnsi" w:cstheme="minorBidi"/>
          <w:color w:val="auto"/>
          <w:sz w:val="22"/>
          <w:szCs w:val="22"/>
          <w:lang w:val="fi-FI" w:eastAsia="en-US"/>
        </w:rPr>
        <w:id w:val="-880859084"/>
        <w:docPartObj>
          <w:docPartGallery w:val="Table of Contents"/>
          <w:docPartUnique/>
        </w:docPartObj>
      </w:sdtPr>
      <w:sdtEndPr>
        <w:rPr>
          <w:b/>
          <w:bCs/>
        </w:rPr>
      </w:sdtEndPr>
      <w:sdtContent>
        <w:p w:rsidR="003A6325" w:rsidRDefault="003A6325">
          <w:pPr>
            <w:pStyle w:val="TOCHeading"/>
          </w:pPr>
          <w:r>
            <w:rPr>
              <w:lang w:val="fi-FI"/>
            </w:rPr>
            <w:t>Sisällys</w:t>
          </w:r>
        </w:p>
        <w:p w:rsidR="003A6325" w:rsidRDefault="003A6325">
          <w:pPr>
            <w:pStyle w:val="TOC1"/>
            <w:tabs>
              <w:tab w:val="left" w:pos="440"/>
              <w:tab w:val="right" w:leader="dot" w:pos="9016"/>
            </w:tabs>
            <w:rPr>
              <w:rFonts w:eastAsiaTheme="minorEastAsia"/>
              <w:noProof/>
              <w:lang w:val="en-AU" w:eastAsia="en-AU"/>
            </w:rPr>
          </w:pPr>
          <w:r>
            <w:fldChar w:fldCharType="begin"/>
          </w:r>
          <w:r>
            <w:instrText xml:space="preserve"> TOC \o "1-3" \h \z \u </w:instrText>
          </w:r>
          <w:r>
            <w:fldChar w:fldCharType="separate"/>
          </w:r>
          <w:hyperlink w:anchor="_Toc531271549" w:history="1">
            <w:r w:rsidRPr="00536817">
              <w:rPr>
                <w:rStyle w:val="Hyperlink"/>
                <w:b/>
                <w:noProof/>
                <w:lang w:val="fi-FI"/>
              </w:rPr>
              <w:t>1.</w:t>
            </w:r>
            <w:r>
              <w:rPr>
                <w:rFonts w:eastAsiaTheme="minorEastAsia"/>
                <w:noProof/>
                <w:lang w:val="en-AU" w:eastAsia="en-AU"/>
              </w:rPr>
              <w:tab/>
            </w:r>
            <w:r w:rsidRPr="00536817">
              <w:rPr>
                <w:rStyle w:val="Hyperlink"/>
                <w:b/>
                <w:noProof/>
                <w:lang w:val="fi-FI"/>
              </w:rPr>
              <w:t>Sarjakirjan tarkoitus sekä yhteystiedot</w:t>
            </w:r>
            <w:r>
              <w:rPr>
                <w:noProof/>
                <w:webHidden/>
              </w:rPr>
              <w:tab/>
            </w:r>
            <w:r>
              <w:rPr>
                <w:noProof/>
                <w:webHidden/>
              </w:rPr>
              <w:fldChar w:fldCharType="begin"/>
            </w:r>
            <w:r>
              <w:rPr>
                <w:noProof/>
                <w:webHidden/>
              </w:rPr>
              <w:instrText xml:space="preserve"> PAGEREF _Toc531271549 \h </w:instrText>
            </w:r>
            <w:r>
              <w:rPr>
                <w:noProof/>
                <w:webHidden/>
              </w:rPr>
            </w:r>
            <w:r>
              <w:rPr>
                <w:noProof/>
                <w:webHidden/>
              </w:rPr>
              <w:fldChar w:fldCharType="separate"/>
            </w:r>
            <w:r>
              <w:rPr>
                <w:noProof/>
                <w:webHidden/>
              </w:rPr>
              <w:t>1</w:t>
            </w:r>
            <w:r>
              <w:rPr>
                <w:noProof/>
                <w:webHidden/>
              </w:rPr>
              <w:fldChar w:fldCharType="end"/>
            </w:r>
          </w:hyperlink>
        </w:p>
        <w:p w:rsidR="003A6325" w:rsidRDefault="00A41DC5">
          <w:pPr>
            <w:pStyle w:val="TOC1"/>
            <w:tabs>
              <w:tab w:val="left" w:pos="440"/>
              <w:tab w:val="right" w:leader="dot" w:pos="9016"/>
            </w:tabs>
            <w:rPr>
              <w:rFonts w:eastAsiaTheme="minorEastAsia"/>
              <w:noProof/>
              <w:lang w:val="en-AU" w:eastAsia="en-AU"/>
            </w:rPr>
          </w:pPr>
          <w:hyperlink w:anchor="_Toc531271550" w:history="1">
            <w:r w:rsidR="003A6325" w:rsidRPr="00536817">
              <w:rPr>
                <w:rStyle w:val="Hyperlink"/>
                <w:b/>
                <w:noProof/>
                <w:lang w:val="fi-FI"/>
              </w:rPr>
              <w:t>2.</w:t>
            </w:r>
            <w:r w:rsidR="003A6325">
              <w:rPr>
                <w:rFonts w:eastAsiaTheme="minorEastAsia"/>
                <w:noProof/>
                <w:lang w:val="en-AU" w:eastAsia="en-AU"/>
              </w:rPr>
              <w:tab/>
            </w:r>
            <w:r w:rsidR="003A6325" w:rsidRPr="00536817">
              <w:rPr>
                <w:rStyle w:val="Hyperlink"/>
                <w:b/>
                <w:noProof/>
                <w:lang w:val="fi-FI"/>
              </w:rPr>
              <w:t>Sarjamuoto sekä erotuomarit</w:t>
            </w:r>
            <w:r w:rsidR="003A6325">
              <w:rPr>
                <w:noProof/>
                <w:webHidden/>
              </w:rPr>
              <w:tab/>
            </w:r>
            <w:r w:rsidR="003A6325">
              <w:rPr>
                <w:noProof/>
                <w:webHidden/>
              </w:rPr>
              <w:fldChar w:fldCharType="begin"/>
            </w:r>
            <w:r w:rsidR="003A6325">
              <w:rPr>
                <w:noProof/>
                <w:webHidden/>
              </w:rPr>
              <w:instrText xml:space="preserve"> PAGEREF _Toc531271550 \h </w:instrText>
            </w:r>
            <w:r w:rsidR="003A6325">
              <w:rPr>
                <w:noProof/>
                <w:webHidden/>
              </w:rPr>
            </w:r>
            <w:r w:rsidR="003A6325">
              <w:rPr>
                <w:noProof/>
                <w:webHidden/>
              </w:rPr>
              <w:fldChar w:fldCharType="separate"/>
            </w:r>
            <w:r w:rsidR="003A6325">
              <w:rPr>
                <w:noProof/>
                <w:webHidden/>
              </w:rPr>
              <w:t>1</w:t>
            </w:r>
            <w:r w:rsidR="003A6325">
              <w:rPr>
                <w:noProof/>
                <w:webHidden/>
              </w:rPr>
              <w:fldChar w:fldCharType="end"/>
            </w:r>
          </w:hyperlink>
        </w:p>
        <w:p w:rsidR="003A6325" w:rsidRDefault="00A41DC5">
          <w:pPr>
            <w:pStyle w:val="TOC1"/>
            <w:tabs>
              <w:tab w:val="left" w:pos="440"/>
              <w:tab w:val="right" w:leader="dot" w:pos="9016"/>
            </w:tabs>
            <w:rPr>
              <w:rFonts w:eastAsiaTheme="minorEastAsia"/>
              <w:noProof/>
              <w:lang w:val="en-AU" w:eastAsia="en-AU"/>
            </w:rPr>
          </w:pPr>
          <w:hyperlink w:anchor="_Toc531271551" w:history="1">
            <w:r w:rsidR="003A6325" w:rsidRPr="00536817">
              <w:rPr>
                <w:rStyle w:val="Hyperlink"/>
                <w:b/>
                <w:noProof/>
              </w:rPr>
              <w:t>3.</w:t>
            </w:r>
            <w:r w:rsidR="003A6325">
              <w:rPr>
                <w:rFonts w:eastAsiaTheme="minorEastAsia"/>
                <w:noProof/>
                <w:lang w:val="en-AU" w:eastAsia="en-AU"/>
              </w:rPr>
              <w:tab/>
            </w:r>
            <w:r w:rsidR="003A6325" w:rsidRPr="00536817">
              <w:rPr>
                <w:rStyle w:val="Hyperlink"/>
                <w:b/>
                <w:noProof/>
              </w:rPr>
              <w:t>Sarjaan ilmoittautuminen</w:t>
            </w:r>
            <w:r w:rsidR="003A6325">
              <w:rPr>
                <w:noProof/>
                <w:webHidden/>
              </w:rPr>
              <w:tab/>
            </w:r>
            <w:r w:rsidR="003A6325">
              <w:rPr>
                <w:noProof/>
                <w:webHidden/>
              </w:rPr>
              <w:fldChar w:fldCharType="begin"/>
            </w:r>
            <w:r w:rsidR="003A6325">
              <w:rPr>
                <w:noProof/>
                <w:webHidden/>
              </w:rPr>
              <w:instrText xml:space="preserve"> PAGEREF _Toc531271551 \h </w:instrText>
            </w:r>
            <w:r w:rsidR="003A6325">
              <w:rPr>
                <w:noProof/>
                <w:webHidden/>
              </w:rPr>
            </w:r>
            <w:r w:rsidR="003A6325">
              <w:rPr>
                <w:noProof/>
                <w:webHidden/>
              </w:rPr>
              <w:fldChar w:fldCharType="separate"/>
            </w:r>
            <w:r w:rsidR="003A6325">
              <w:rPr>
                <w:noProof/>
                <w:webHidden/>
              </w:rPr>
              <w:t>2</w:t>
            </w:r>
            <w:r w:rsidR="003A6325">
              <w:rPr>
                <w:noProof/>
                <w:webHidden/>
              </w:rPr>
              <w:fldChar w:fldCharType="end"/>
            </w:r>
          </w:hyperlink>
        </w:p>
        <w:p w:rsidR="003A6325" w:rsidRDefault="00A41DC5">
          <w:pPr>
            <w:pStyle w:val="TOC1"/>
            <w:tabs>
              <w:tab w:val="left" w:pos="440"/>
              <w:tab w:val="right" w:leader="dot" w:pos="9016"/>
            </w:tabs>
            <w:rPr>
              <w:rFonts w:eastAsiaTheme="minorEastAsia"/>
              <w:noProof/>
              <w:lang w:val="en-AU" w:eastAsia="en-AU"/>
            </w:rPr>
          </w:pPr>
          <w:hyperlink w:anchor="_Toc531271552" w:history="1">
            <w:r w:rsidR="003A6325" w:rsidRPr="00536817">
              <w:rPr>
                <w:rStyle w:val="Hyperlink"/>
                <w:b/>
                <w:noProof/>
                <w:lang w:val="fi-FI"/>
              </w:rPr>
              <w:t>4.</w:t>
            </w:r>
            <w:r w:rsidR="003A6325">
              <w:rPr>
                <w:rFonts w:eastAsiaTheme="minorEastAsia"/>
                <w:noProof/>
                <w:lang w:val="en-AU" w:eastAsia="en-AU"/>
              </w:rPr>
              <w:tab/>
            </w:r>
            <w:r w:rsidR="003A6325" w:rsidRPr="00536817">
              <w:rPr>
                <w:rStyle w:val="Hyperlink"/>
                <w:b/>
                <w:noProof/>
                <w:lang w:val="fi-FI"/>
              </w:rPr>
              <w:t>Säännöt ja pelikenttä</w:t>
            </w:r>
            <w:r w:rsidR="003A6325">
              <w:rPr>
                <w:noProof/>
                <w:webHidden/>
              </w:rPr>
              <w:tab/>
            </w:r>
            <w:r w:rsidR="003A6325">
              <w:rPr>
                <w:noProof/>
                <w:webHidden/>
              </w:rPr>
              <w:fldChar w:fldCharType="begin"/>
            </w:r>
            <w:r w:rsidR="003A6325">
              <w:rPr>
                <w:noProof/>
                <w:webHidden/>
              </w:rPr>
              <w:instrText xml:space="preserve"> PAGEREF _Toc531271552 \h </w:instrText>
            </w:r>
            <w:r w:rsidR="003A6325">
              <w:rPr>
                <w:noProof/>
                <w:webHidden/>
              </w:rPr>
            </w:r>
            <w:r w:rsidR="003A6325">
              <w:rPr>
                <w:noProof/>
                <w:webHidden/>
              </w:rPr>
              <w:fldChar w:fldCharType="separate"/>
            </w:r>
            <w:r w:rsidR="003A6325">
              <w:rPr>
                <w:noProof/>
                <w:webHidden/>
              </w:rPr>
              <w:t>2</w:t>
            </w:r>
            <w:r w:rsidR="003A6325">
              <w:rPr>
                <w:noProof/>
                <w:webHidden/>
              </w:rPr>
              <w:fldChar w:fldCharType="end"/>
            </w:r>
          </w:hyperlink>
        </w:p>
        <w:p w:rsidR="003A6325" w:rsidRDefault="00A41DC5">
          <w:pPr>
            <w:pStyle w:val="TOC1"/>
            <w:tabs>
              <w:tab w:val="left" w:pos="440"/>
              <w:tab w:val="right" w:leader="dot" w:pos="9016"/>
            </w:tabs>
            <w:rPr>
              <w:rFonts w:eastAsiaTheme="minorEastAsia"/>
              <w:noProof/>
              <w:lang w:val="en-AU" w:eastAsia="en-AU"/>
            </w:rPr>
          </w:pPr>
          <w:hyperlink w:anchor="_Toc531271553" w:history="1">
            <w:r w:rsidR="003A6325" w:rsidRPr="00536817">
              <w:rPr>
                <w:rStyle w:val="Hyperlink"/>
                <w:b/>
                <w:noProof/>
                <w:lang w:val="fi-FI"/>
              </w:rPr>
              <w:t>5.</w:t>
            </w:r>
            <w:r w:rsidR="003A6325">
              <w:rPr>
                <w:rFonts w:eastAsiaTheme="minorEastAsia"/>
                <w:noProof/>
                <w:lang w:val="en-AU" w:eastAsia="en-AU"/>
              </w:rPr>
              <w:tab/>
            </w:r>
            <w:r w:rsidR="003A6325" w:rsidRPr="00536817">
              <w:rPr>
                <w:rStyle w:val="Hyperlink"/>
                <w:b/>
                <w:noProof/>
                <w:lang w:val="fi-FI"/>
              </w:rPr>
              <w:t>Ottelumääräykset</w:t>
            </w:r>
            <w:r w:rsidR="003A6325">
              <w:rPr>
                <w:noProof/>
                <w:webHidden/>
              </w:rPr>
              <w:tab/>
            </w:r>
            <w:r w:rsidR="003A6325">
              <w:rPr>
                <w:noProof/>
                <w:webHidden/>
              </w:rPr>
              <w:fldChar w:fldCharType="begin"/>
            </w:r>
            <w:r w:rsidR="003A6325">
              <w:rPr>
                <w:noProof/>
                <w:webHidden/>
              </w:rPr>
              <w:instrText xml:space="preserve"> PAGEREF _Toc531271553 \h </w:instrText>
            </w:r>
            <w:r w:rsidR="003A6325">
              <w:rPr>
                <w:noProof/>
                <w:webHidden/>
              </w:rPr>
            </w:r>
            <w:r w:rsidR="003A6325">
              <w:rPr>
                <w:noProof/>
                <w:webHidden/>
              </w:rPr>
              <w:fldChar w:fldCharType="separate"/>
            </w:r>
            <w:r w:rsidR="003A6325">
              <w:rPr>
                <w:noProof/>
                <w:webHidden/>
              </w:rPr>
              <w:t>2</w:t>
            </w:r>
            <w:r w:rsidR="003A6325">
              <w:rPr>
                <w:noProof/>
                <w:webHidden/>
              </w:rPr>
              <w:fldChar w:fldCharType="end"/>
            </w:r>
          </w:hyperlink>
        </w:p>
        <w:p w:rsidR="003A6325" w:rsidRDefault="00A41DC5">
          <w:pPr>
            <w:pStyle w:val="TOC2"/>
            <w:tabs>
              <w:tab w:val="right" w:leader="dot" w:pos="9016"/>
            </w:tabs>
            <w:rPr>
              <w:rFonts w:eastAsiaTheme="minorEastAsia"/>
              <w:noProof/>
              <w:lang w:val="en-AU" w:eastAsia="en-AU"/>
            </w:rPr>
          </w:pPr>
          <w:hyperlink w:anchor="_Toc531271554" w:history="1">
            <w:r w:rsidR="003A6325" w:rsidRPr="00536817">
              <w:rPr>
                <w:rStyle w:val="Hyperlink"/>
                <w:b/>
                <w:noProof/>
                <w:lang w:val="fi-FI"/>
              </w:rPr>
              <w:t>5.1</w:t>
            </w:r>
            <w:r w:rsidR="003A6325">
              <w:rPr>
                <w:rStyle w:val="Hyperlink"/>
                <w:b/>
                <w:noProof/>
                <w:lang w:val="fi-FI"/>
              </w:rPr>
              <w:t xml:space="preserve">      </w:t>
            </w:r>
            <w:r w:rsidR="003A6325" w:rsidRPr="00536817">
              <w:rPr>
                <w:rStyle w:val="Hyperlink"/>
                <w:b/>
                <w:noProof/>
                <w:lang w:val="fi-FI"/>
              </w:rPr>
              <w:t xml:space="preserve"> Kotijoukkueen velvoitteet</w:t>
            </w:r>
            <w:r w:rsidR="003A6325">
              <w:rPr>
                <w:noProof/>
                <w:webHidden/>
              </w:rPr>
              <w:tab/>
            </w:r>
            <w:r w:rsidR="003A6325">
              <w:rPr>
                <w:noProof/>
                <w:webHidden/>
              </w:rPr>
              <w:fldChar w:fldCharType="begin"/>
            </w:r>
            <w:r w:rsidR="003A6325">
              <w:rPr>
                <w:noProof/>
                <w:webHidden/>
              </w:rPr>
              <w:instrText xml:space="preserve"> PAGEREF _Toc531271554 \h </w:instrText>
            </w:r>
            <w:r w:rsidR="003A6325">
              <w:rPr>
                <w:noProof/>
                <w:webHidden/>
              </w:rPr>
            </w:r>
            <w:r w:rsidR="003A6325">
              <w:rPr>
                <w:noProof/>
                <w:webHidden/>
              </w:rPr>
              <w:fldChar w:fldCharType="separate"/>
            </w:r>
            <w:r w:rsidR="003A6325">
              <w:rPr>
                <w:noProof/>
                <w:webHidden/>
              </w:rPr>
              <w:t>3</w:t>
            </w:r>
            <w:r w:rsidR="003A6325">
              <w:rPr>
                <w:noProof/>
                <w:webHidden/>
              </w:rPr>
              <w:fldChar w:fldCharType="end"/>
            </w:r>
          </w:hyperlink>
        </w:p>
        <w:p w:rsidR="003A6325" w:rsidRDefault="00A41DC5">
          <w:pPr>
            <w:pStyle w:val="TOC2"/>
            <w:tabs>
              <w:tab w:val="left" w:pos="880"/>
              <w:tab w:val="right" w:leader="dot" w:pos="9016"/>
            </w:tabs>
            <w:rPr>
              <w:rFonts w:eastAsiaTheme="minorEastAsia"/>
              <w:noProof/>
              <w:lang w:val="en-AU" w:eastAsia="en-AU"/>
            </w:rPr>
          </w:pPr>
          <w:hyperlink w:anchor="_Toc531271555" w:history="1">
            <w:r w:rsidR="003A6325" w:rsidRPr="00536817">
              <w:rPr>
                <w:rStyle w:val="Hyperlink"/>
                <w:b/>
                <w:noProof/>
                <w:lang w:val="fi-FI"/>
              </w:rPr>
              <w:t>5.2</w:t>
            </w:r>
            <w:r w:rsidR="003A6325">
              <w:rPr>
                <w:rFonts w:eastAsiaTheme="minorEastAsia"/>
                <w:noProof/>
                <w:lang w:val="en-AU" w:eastAsia="en-AU"/>
              </w:rPr>
              <w:tab/>
            </w:r>
            <w:r w:rsidR="003A6325" w:rsidRPr="00536817">
              <w:rPr>
                <w:rStyle w:val="Hyperlink"/>
                <w:b/>
                <w:noProof/>
                <w:lang w:val="fi-FI"/>
              </w:rPr>
              <w:t>Tuomarit</w:t>
            </w:r>
            <w:r w:rsidR="003A6325">
              <w:rPr>
                <w:noProof/>
                <w:webHidden/>
              </w:rPr>
              <w:tab/>
            </w:r>
            <w:r w:rsidR="003A6325">
              <w:rPr>
                <w:noProof/>
                <w:webHidden/>
              </w:rPr>
              <w:fldChar w:fldCharType="begin"/>
            </w:r>
            <w:r w:rsidR="003A6325">
              <w:rPr>
                <w:noProof/>
                <w:webHidden/>
              </w:rPr>
              <w:instrText xml:space="preserve"> PAGEREF _Toc531271555 \h </w:instrText>
            </w:r>
            <w:r w:rsidR="003A6325">
              <w:rPr>
                <w:noProof/>
                <w:webHidden/>
              </w:rPr>
            </w:r>
            <w:r w:rsidR="003A6325">
              <w:rPr>
                <w:noProof/>
                <w:webHidden/>
              </w:rPr>
              <w:fldChar w:fldCharType="separate"/>
            </w:r>
            <w:r w:rsidR="003A6325">
              <w:rPr>
                <w:noProof/>
                <w:webHidden/>
              </w:rPr>
              <w:t>3</w:t>
            </w:r>
            <w:r w:rsidR="003A6325">
              <w:rPr>
                <w:noProof/>
                <w:webHidden/>
              </w:rPr>
              <w:fldChar w:fldCharType="end"/>
            </w:r>
          </w:hyperlink>
        </w:p>
        <w:p w:rsidR="003A6325" w:rsidRDefault="00A41DC5">
          <w:pPr>
            <w:pStyle w:val="TOC2"/>
            <w:tabs>
              <w:tab w:val="left" w:pos="880"/>
              <w:tab w:val="right" w:leader="dot" w:pos="9016"/>
            </w:tabs>
            <w:rPr>
              <w:rFonts w:eastAsiaTheme="minorEastAsia"/>
              <w:noProof/>
              <w:lang w:val="en-AU" w:eastAsia="en-AU"/>
            </w:rPr>
          </w:pPr>
          <w:hyperlink w:anchor="_Toc531271556" w:history="1">
            <w:r w:rsidR="003A6325" w:rsidRPr="00536817">
              <w:rPr>
                <w:rStyle w:val="Hyperlink"/>
                <w:b/>
                <w:noProof/>
                <w:lang w:val="fi-FI"/>
              </w:rPr>
              <w:t>5.3</w:t>
            </w:r>
            <w:r w:rsidR="003A6325">
              <w:rPr>
                <w:rFonts w:eastAsiaTheme="minorEastAsia"/>
                <w:noProof/>
                <w:lang w:val="en-AU" w:eastAsia="en-AU"/>
              </w:rPr>
              <w:tab/>
            </w:r>
            <w:r w:rsidR="003A6325" w:rsidRPr="00536817">
              <w:rPr>
                <w:rStyle w:val="Hyperlink"/>
                <w:b/>
                <w:noProof/>
                <w:lang w:val="fi-FI"/>
              </w:rPr>
              <w:t>Pelaajaluettelo ja tilastointi</w:t>
            </w:r>
            <w:r w:rsidR="003A6325">
              <w:rPr>
                <w:noProof/>
                <w:webHidden/>
              </w:rPr>
              <w:tab/>
            </w:r>
            <w:r w:rsidR="003A6325">
              <w:rPr>
                <w:noProof/>
                <w:webHidden/>
              </w:rPr>
              <w:fldChar w:fldCharType="begin"/>
            </w:r>
            <w:r w:rsidR="003A6325">
              <w:rPr>
                <w:noProof/>
                <w:webHidden/>
              </w:rPr>
              <w:instrText xml:space="preserve"> PAGEREF _Toc531271556 \h </w:instrText>
            </w:r>
            <w:r w:rsidR="003A6325">
              <w:rPr>
                <w:noProof/>
                <w:webHidden/>
              </w:rPr>
            </w:r>
            <w:r w:rsidR="003A6325">
              <w:rPr>
                <w:noProof/>
                <w:webHidden/>
              </w:rPr>
              <w:fldChar w:fldCharType="separate"/>
            </w:r>
            <w:r w:rsidR="003A6325">
              <w:rPr>
                <w:noProof/>
                <w:webHidden/>
              </w:rPr>
              <w:t>3</w:t>
            </w:r>
            <w:r w:rsidR="003A6325">
              <w:rPr>
                <w:noProof/>
                <w:webHidden/>
              </w:rPr>
              <w:fldChar w:fldCharType="end"/>
            </w:r>
          </w:hyperlink>
        </w:p>
        <w:p w:rsidR="003A6325" w:rsidRDefault="00A41DC5">
          <w:pPr>
            <w:pStyle w:val="TOC2"/>
            <w:tabs>
              <w:tab w:val="left" w:pos="880"/>
              <w:tab w:val="right" w:leader="dot" w:pos="9016"/>
            </w:tabs>
            <w:rPr>
              <w:rFonts w:eastAsiaTheme="minorEastAsia"/>
              <w:noProof/>
              <w:lang w:val="en-AU" w:eastAsia="en-AU"/>
            </w:rPr>
          </w:pPr>
          <w:hyperlink w:anchor="_Toc531271557" w:history="1">
            <w:r w:rsidR="003A6325" w:rsidRPr="00536817">
              <w:rPr>
                <w:rStyle w:val="Hyperlink"/>
                <w:b/>
                <w:noProof/>
                <w:lang w:val="fi-FI"/>
              </w:rPr>
              <w:t>5.4</w:t>
            </w:r>
            <w:r w:rsidR="003A6325">
              <w:rPr>
                <w:rFonts w:eastAsiaTheme="minorEastAsia"/>
                <w:noProof/>
                <w:lang w:val="en-AU" w:eastAsia="en-AU"/>
              </w:rPr>
              <w:tab/>
            </w:r>
            <w:r w:rsidR="003A6325" w:rsidRPr="00536817">
              <w:rPr>
                <w:rStyle w:val="Hyperlink"/>
                <w:b/>
                <w:noProof/>
                <w:lang w:val="fi-FI"/>
              </w:rPr>
              <w:t>Kurinpito</w:t>
            </w:r>
            <w:r w:rsidR="003A6325">
              <w:rPr>
                <w:noProof/>
                <w:webHidden/>
              </w:rPr>
              <w:tab/>
            </w:r>
            <w:r w:rsidR="003A6325">
              <w:rPr>
                <w:noProof/>
                <w:webHidden/>
              </w:rPr>
              <w:fldChar w:fldCharType="begin"/>
            </w:r>
            <w:r w:rsidR="003A6325">
              <w:rPr>
                <w:noProof/>
                <w:webHidden/>
              </w:rPr>
              <w:instrText xml:space="preserve"> PAGEREF _Toc531271557 \h </w:instrText>
            </w:r>
            <w:r w:rsidR="003A6325">
              <w:rPr>
                <w:noProof/>
                <w:webHidden/>
              </w:rPr>
            </w:r>
            <w:r w:rsidR="003A6325">
              <w:rPr>
                <w:noProof/>
                <w:webHidden/>
              </w:rPr>
              <w:fldChar w:fldCharType="separate"/>
            </w:r>
            <w:r w:rsidR="003A6325">
              <w:rPr>
                <w:noProof/>
                <w:webHidden/>
              </w:rPr>
              <w:t>4</w:t>
            </w:r>
            <w:r w:rsidR="003A6325">
              <w:rPr>
                <w:noProof/>
                <w:webHidden/>
              </w:rPr>
              <w:fldChar w:fldCharType="end"/>
            </w:r>
          </w:hyperlink>
        </w:p>
        <w:p w:rsidR="003A6325" w:rsidRDefault="00A41DC5">
          <w:pPr>
            <w:pStyle w:val="TOC1"/>
            <w:tabs>
              <w:tab w:val="left" w:pos="440"/>
              <w:tab w:val="right" w:leader="dot" w:pos="9016"/>
            </w:tabs>
            <w:rPr>
              <w:rFonts w:eastAsiaTheme="minorEastAsia"/>
              <w:noProof/>
              <w:lang w:val="en-AU" w:eastAsia="en-AU"/>
            </w:rPr>
          </w:pPr>
          <w:hyperlink w:anchor="_Toc531271558" w:history="1">
            <w:r w:rsidR="003A6325" w:rsidRPr="00536817">
              <w:rPr>
                <w:rStyle w:val="Hyperlink"/>
                <w:b/>
                <w:noProof/>
                <w:lang w:val="fi-FI"/>
              </w:rPr>
              <w:t>6.</w:t>
            </w:r>
            <w:r w:rsidR="003A6325">
              <w:rPr>
                <w:rFonts w:eastAsiaTheme="minorEastAsia"/>
                <w:noProof/>
                <w:lang w:val="en-AU" w:eastAsia="en-AU"/>
              </w:rPr>
              <w:tab/>
            </w:r>
            <w:r w:rsidR="003A6325" w:rsidRPr="00536817">
              <w:rPr>
                <w:rStyle w:val="Hyperlink"/>
                <w:b/>
                <w:noProof/>
                <w:lang w:val="fi-FI"/>
              </w:rPr>
              <w:t>Pelaajan edustuskelpoisuus</w:t>
            </w:r>
            <w:r w:rsidR="003A6325">
              <w:rPr>
                <w:noProof/>
                <w:webHidden/>
              </w:rPr>
              <w:tab/>
            </w:r>
            <w:r w:rsidR="003A6325">
              <w:rPr>
                <w:noProof/>
                <w:webHidden/>
              </w:rPr>
              <w:fldChar w:fldCharType="begin"/>
            </w:r>
            <w:r w:rsidR="003A6325">
              <w:rPr>
                <w:noProof/>
                <w:webHidden/>
              </w:rPr>
              <w:instrText xml:space="preserve"> PAGEREF _Toc531271558 \h </w:instrText>
            </w:r>
            <w:r w:rsidR="003A6325">
              <w:rPr>
                <w:noProof/>
                <w:webHidden/>
              </w:rPr>
            </w:r>
            <w:r w:rsidR="003A6325">
              <w:rPr>
                <w:noProof/>
                <w:webHidden/>
              </w:rPr>
              <w:fldChar w:fldCharType="separate"/>
            </w:r>
            <w:r w:rsidR="003A6325">
              <w:rPr>
                <w:noProof/>
                <w:webHidden/>
              </w:rPr>
              <w:t>4</w:t>
            </w:r>
            <w:r w:rsidR="003A6325">
              <w:rPr>
                <w:noProof/>
                <w:webHidden/>
              </w:rPr>
              <w:fldChar w:fldCharType="end"/>
            </w:r>
          </w:hyperlink>
        </w:p>
        <w:p w:rsidR="003A6325" w:rsidRDefault="00A41DC5">
          <w:pPr>
            <w:pStyle w:val="TOC1"/>
            <w:tabs>
              <w:tab w:val="left" w:pos="440"/>
              <w:tab w:val="right" w:leader="dot" w:pos="9016"/>
            </w:tabs>
            <w:rPr>
              <w:rFonts w:eastAsiaTheme="minorEastAsia"/>
              <w:noProof/>
              <w:lang w:val="en-AU" w:eastAsia="en-AU"/>
            </w:rPr>
          </w:pPr>
          <w:hyperlink w:anchor="_Toc531271559" w:history="1">
            <w:r w:rsidR="003A6325" w:rsidRPr="00536817">
              <w:rPr>
                <w:rStyle w:val="Hyperlink"/>
                <w:b/>
                <w:noProof/>
                <w:lang w:val="fi-FI"/>
              </w:rPr>
              <w:t>7.</w:t>
            </w:r>
            <w:r w:rsidR="003A6325">
              <w:rPr>
                <w:rFonts w:eastAsiaTheme="minorEastAsia"/>
                <w:noProof/>
                <w:lang w:val="en-AU" w:eastAsia="en-AU"/>
              </w:rPr>
              <w:tab/>
            </w:r>
            <w:r w:rsidR="003A6325" w:rsidRPr="00536817">
              <w:rPr>
                <w:rStyle w:val="Hyperlink"/>
                <w:b/>
                <w:noProof/>
                <w:lang w:val="fi-FI"/>
              </w:rPr>
              <w:t>Lisenssit ja vakuutukset</w:t>
            </w:r>
            <w:r w:rsidR="003A6325">
              <w:rPr>
                <w:noProof/>
                <w:webHidden/>
              </w:rPr>
              <w:tab/>
            </w:r>
            <w:r w:rsidR="003A6325">
              <w:rPr>
                <w:noProof/>
                <w:webHidden/>
              </w:rPr>
              <w:fldChar w:fldCharType="begin"/>
            </w:r>
            <w:r w:rsidR="003A6325">
              <w:rPr>
                <w:noProof/>
                <w:webHidden/>
              </w:rPr>
              <w:instrText xml:space="preserve"> PAGEREF _Toc531271559 \h </w:instrText>
            </w:r>
            <w:r w:rsidR="003A6325">
              <w:rPr>
                <w:noProof/>
                <w:webHidden/>
              </w:rPr>
            </w:r>
            <w:r w:rsidR="003A6325">
              <w:rPr>
                <w:noProof/>
                <w:webHidden/>
              </w:rPr>
              <w:fldChar w:fldCharType="separate"/>
            </w:r>
            <w:r w:rsidR="003A6325">
              <w:rPr>
                <w:noProof/>
                <w:webHidden/>
              </w:rPr>
              <w:t>4</w:t>
            </w:r>
            <w:r w:rsidR="003A6325">
              <w:rPr>
                <w:noProof/>
                <w:webHidden/>
              </w:rPr>
              <w:fldChar w:fldCharType="end"/>
            </w:r>
          </w:hyperlink>
        </w:p>
        <w:p w:rsidR="003A6325" w:rsidRDefault="00A41DC5">
          <w:pPr>
            <w:pStyle w:val="TOC1"/>
            <w:tabs>
              <w:tab w:val="left" w:pos="440"/>
              <w:tab w:val="right" w:leader="dot" w:pos="9016"/>
            </w:tabs>
            <w:rPr>
              <w:rFonts w:eastAsiaTheme="minorEastAsia"/>
              <w:noProof/>
              <w:lang w:val="en-AU" w:eastAsia="en-AU"/>
            </w:rPr>
          </w:pPr>
          <w:hyperlink w:anchor="_Toc531271560" w:history="1">
            <w:r w:rsidR="003A6325" w:rsidRPr="00536817">
              <w:rPr>
                <w:rStyle w:val="Hyperlink"/>
                <w:b/>
                <w:noProof/>
                <w:lang w:val="fi-FI"/>
              </w:rPr>
              <w:t>8.</w:t>
            </w:r>
            <w:r w:rsidR="003A6325">
              <w:rPr>
                <w:rFonts w:eastAsiaTheme="minorEastAsia"/>
                <w:noProof/>
                <w:lang w:val="en-AU" w:eastAsia="en-AU"/>
              </w:rPr>
              <w:tab/>
            </w:r>
            <w:r w:rsidR="003A6325" w:rsidRPr="00536817">
              <w:rPr>
                <w:rStyle w:val="Hyperlink"/>
                <w:b/>
                <w:noProof/>
                <w:lang w:val="fi-FI"/>
              </w:rPr>
              <w:t>Urheilullinen käyttäytyminen</w:t>
            </w:r>
            <w:r w:rsidR="003A6325">
              <w:rPr>
                <w:noProof/>
                <w:webHidden/>
              </w:rPr>
              <w:tab/>
            </w:r>
            <w:r w:rsidR="003A6325">
              <w:rPr>
                <w:noProof/>
                <w:webHidden/>
              </w:rPr>
              <w:fldChar w:fldCharType="begin"/>
            </w:r>
            <w:r w:rsidR="003A6325">
              <w:rPr>
                <w:noProof/>
                <w:webHidden/>
              </w:rPr>
              <w:instrText xml:space="preserve"> PAGEREF _Toc531271560 \h </w:instrText>
            </w:r>
            <w:r w:rsidR="003A6325">
              <w:rPr>
                <w:noProof/>
                <w:webHidden/>
              </w:rPr>
            </w:r>
            <w:r w:rsidR="003A6325">
              <w:rPr>
                <w:noProof/>
                <w:webHidden/>
              </w:rPr>
              <w:fldChar w:fldCharType="separate"/>
            </w:r>
            <w:r w:rsidR="003A6325">
              <w:rPr>
                <w:noProof/>
                <w:webHidden/>
              </w:rPr>
              <w:t>5</w:t>
            </w:r>
            <w:r w:rsidR="003A6325">
              <w:rPr>
                <w:noProof/>
                <w:webHidden/>
              </w:rPr>
              <w:fldChar w:fldCharType="end"/>
            </w:r>
          </w:hyperlink>
        </w:p>
        <w:p w:rsidR="003A6325" w:rsidRDefault="00A41DC5">
          <w:pPr>
            <w:pStyle w:val="TOC1"/>
            <w:tabs>
              <w:tab w:val="left" w:pos="440"/>
              <w:tab w:val="right" w:leader="dot" w:pos="9016"/>
            </w:tabs>
            <w:rPr>
              <w:rFonts w:eastAsiaTheme="minorEastAsia"/>
              <w:noProof/>
              <w:lang w:val="en-AU" w:eastAsia="en-AU"/>
            </w:rPr>
          </w:pPr>
          <w:hyperlink w:anchor="_Toc531271561" w:history="1">
            <w:r w:rsidR="003A6325" w:rsidRPr="00536817">
              <w:rPr>
                <w:rStyle w:val="Hyperlink"/>
                <w:b/>
                <w:noProof/>
                <w:lang w:val="fi-FI"/>
              </w:rPr>
              <w:t>9.</w:t>
            </w:r>
            <w:r w:rsidR="003A6325">
              <w:rPr>
                <w:rFonts w:eastAsiaTheme="minorEastAsia"/>
                <w:noProof/>
                <w:lang w:val="en-AU" w:eastAsia="en-AU"/>
              </w:rPr>
              <w:tab/>
            </w:r>
            <w:r w:rsidR="003A6325" w:rsidRPr="00536817">
              <w:rPr>
                <w:rStyle w:val="Hyperlink"/>
                <w:b/>
                <w:noProof/>
                <w:lang w:val="fi-FI"/>
              </w:rPr>
              <w:t>Tiedotus</w:t>
            </w:r>
            <w:r w:rsidR="003A6325">
              <w:rPr>
                <w:noProof/>
                <w:webHidden/>
              </w:rPr>
              <w:tab/>
            </w:r>
            <w:r w:rsidR="003A6325">
              <w:rPr>
                <w:noProof/>
                <w:webHidden/>
              </w:rPr>
              <w:fldChar w:fldCharType="begin"/>
            </w:r>
            <w:r w:rsidR="003A6325">
              <w:rPr>
                <w:noProof/>
                <w:webHidden/>
              </w:rPr>
              <w:instrText xml:space="preserve"> PAGEREF _Toc531271561 \h </w:instrText>
            </w:r>
            <w:r w:rsidR="003A6325">
              <w:rPr>
                <w:noProof/>
                <w:webHidden/>
              </w:rPr>
            </w:r>
            <w:r w:rsidR="003A6325">
              <w:rPr>
                <w:noProof/>
                <w:webHidden/>
              </w:rPr>
              <w:fldChar w:fldCharType="separate"/>
            </w:r>
            <w:r w:rsidR="003A6325">
              <w:rPr>
                <w:noProof/>
                <w:webHidden/>
              </w:rPr>
              <w:t>5</w:t>
            </w:r>
            <w:r w:rsidR="003A6325">
              <w:rPr>
                <w:noProof/>
                <w:webHidden/>
              </w:rPr>
              <w:fldChar w:fldCharType="end"/>
            </w:r>
          </w:hyperlink>
        </w:p>
        <w:p w:rsidR="003A6325" w:rsidRDefault="00A41DC5">
          <w:pPr>
            <w:pStyle w:val="TOC1"/>
            <w:tabs>
              <w:tab w:val="left" w:pos="660"/>
              <w:tab w:val="right" w:leader="dot" w:pos="9016"/>
            </w:tabs>
            <w:rPr>
              <w:rFonts w:eastAsiaTheme="minorEastAsia"/>
              <w:noProof/>
              <w:lang w:val="en-AU" w:eastAsia="en-AU"/>
            </w:rPr>
          </w:pPr>
          <w:hyperlink w:anchor="_Toc531271562" w:history="1">
            <w:r w:rsidR="003A6325" w:rsidRPr="00536817">
              <w:rPr>
                <w:rStyle w:val="Hyperlink"/>
                <w:b/>
                <w:noProof/>
                <w:lang w:val="fi-FI"/>
              </w:rPr>
              <w:t>10.</w:t>
            </w:r>
            <w:r w:rsidR="003A6325">
              <w:rPr>
                <w:rFonts w:eastAsiaTheme="minorEastAsia"/>
                <w:noProof/>
                <w:lang w:val="en-AU" w:eastAsia="en-AU"/>
              </w:rPr>
              <w:t xml:space="preserve">   </w:t>
            </w:r>
            <w:r w:rsidR="003A6325" w:rsidRPr="00536817">
              <w:rPr>
                <w:rStyle w:val="Hyperlink"/>
                <w:b/>
                <w:noProof/>
                <w:lang w:val="fi-FI"/>
              </w:rPr>
              <w:t>Sarjasta luopuminen sekä ottelun luovuttaminen ennen sen alkamista</w:t>
            </w:r>
            <w:r w:rsidR="003A6325">
              <w:rPr>
                <w:noProof/>
                <w:webHidden/>
              </w:rPr>
              <w:tab/>
            </w:r>
            <w:r w:rsidR="003A6325">
              <w:rPr>
                <w:noProof/>
                <w:webHidden/>
              </w:rPr>
              <w:fldChar w:fldCharType="begin"/>
            </w:r>
            <w:r w:rsidR="003A6325">
              <w:rPr>
                <w:noProof/>
                <w:webHidden/>
              </w:rPr>
              <w:instrText xml:space="preserve"> PAGEREF _Toc531271562 \h </w:instrText>
            </w:r>
            <w:r w:rsidR="003A6325">
              <w:rPr>
                <w:noProof/>
                <w:webHidden/>
              </w:rPr>
            </w:r>
            <w:r w:rsidR="003A6325">
              <w:rPr>
                <w:noProof/>
                <w:webHidden/>
              </w:rPr>
              <w:fldChar w:fldCharType="separate"/>
            </w:r>
            <w:r w:rsidR="003A6325">
              <w:rPr>
                <w:noProof/>
                <w:webHidden/>
              </w:rPr>
              <w:t>5</w:t>
            </w:r>
            <w:r w:rsidR="003A6325">
              <w:rPr>
                <w:noProof/>
                <w:webHidden/>
              </w:rPr>
              <w:fldChar w:fldCharType="end"/>
            </w:r>
          </w:hyperlink>
        </w:p>
        <w:p w:rsidR="003A6325" w:rsidRDefault="00A41DC5">
          <w:pPr>
            <w:pStyle w:val="TOC1"/>
            <w:tabs>
              <w:tab w:val="right" w:leader="dot" w:pos="9016"/>
            </w:tabs>
            <w:rPr>
              <w:rFonts w:eastAsiaTheme="minorEastAsia"/>
              <w:noProof/>
              <w:lang w:val="en-AU" w:eastAsia="en-AU"/>
            </w:rPr>
          </w:pPr>
          <w:hyperlink w:anchor="_Toc531271563" w:history="1">
            <w:r w:rsidR="003A6325" w:rsidRPr="00536817">
              <w:rPr>
                <w:rStyle w:val="Hyperlink"/>
                <w:b/>
                <w:noProof/>
                <w:lang w:val="fi-FI"/>
              </w:rPr>
              <w:t>11.</w:t>
            </w:r>
            <w:r w:rsidR="003A6325">
              <w:rPr>
                <w:rStyle w:val="Hyperlink"/>
                <w:b/>
                <w:noProof/>
                <w:lang w:val="fi-FI"/>
              </w:rPr>
              <w:t xml:space="preserve">  </w:t>
            </w:r>
            <w:r w:rsidR="003A6325" w:rsidRPr="00536817">
              <w:rPr>
                <w:rStyle w:val="Hyperlink"/>
                <w:b/>
                <w:noProof/>
                <w:lang w:val="fi-FI"/>
              </w:rPr>
              <w:t xml:space="preserve"> Korkeakoulujefukomitea ja sarjapäällikkö</w:t>
            </w:r>
            <w:r w:rsidR="003A6325">
              <w:rPr>
                <w:noProof/>
                <w:webHidden/>
              </w:rPr>
              <w:tab/>
            </w:r>
            <w:r w:rsidR="003A6325">
              <w:rPr>
                <w:noProof/>
                <w:webHidden/>
              </w:rPr>
              <w:fldChar w:fldCharType="begin"/>
            </w:r>
            <w:r w:rsidR="003A6325">
              <w:rPr>
                <w:noProof/>
                <w:webHidden/>
              </w:rPr>
              <w:instrText xml:space="preserve"> PAGEREF _Toc531271563 \h </w:instrText>
            </w:r>
            <w:r w:rsidR="003A6325">
              <w:rPr>
                <w:noProof/>
                <w:webHidden/>
              </w:rPr>
            </w:r>
            <w:r w:rsidR="003A6325">
              <w:rPr>
                <w:noProof/>
                <w:webHidden/>
              </w:rPr>
              <w:fldChar w:fldCharType="separate"/>
            </w:r>
            <w:r w:rsidR="003A6325">
              <w:rPr>
                <w:noProof/>
                <w:webHidden/>
              </w:rPr>
              <w:t>5</w:t>
            </w:r>
            <w:r w:rsidR="003A6325">
              <w:rPr>
                <w:noProof/>
                <w:webHidden/>
              </w:rPr>
              <w:fldChar w:fldCharType="end"/>
            </w:r>
          </w:hyperlink>
        </w:p>
        <w:p w:rsidR="003A6325" w:rsidRDefault="003A6325">
          <w:pPr>
            <w:rPr>
              <w:b/>
              <w:bCs/>
              <w:lang w:val="fi-FI"/>
            </w:rPr>
          </w:pPr>
          <w:r>
            <w:rPr>
              <w:b/>
              <w:bCs/>
              <w:lang w:val="fi-FI"/>
            </w:rPr>
            <w:fldChar w:fldCharType="end"/>
          </w:r>
        </w:p>
        <w:p w:rsidR="003A6325" w:rsidRDefault="003A6325">
          <w:pPr>
            <w:rPr>
              <w:b/>
              <w:bCs/>
              <w:lang w:val="fi-FI"/>
            </w:rPr>
          </w:pPr>
        </w:p>
        <w:p w:rsidR="003A6325" w:rsidRDefault="003A6325">
          <w:pPr>
            <w:rPr>
              <w:b/>
              <w:bCs/>
              <w:lang w:val="fi-FI"/>
            </w:rPr>
          </w:pPr>
        </w:p>
        <w:p w:rsidR="003A6325" w:rsidRDefault="003A6325">
          <w:pPr>
            <w:rPr>
              <w:b/>
              <w:bCs/>
              <w:lang w:val="fi-FI"/>
            </w:rPr>
          </w:pPr>
        </w:p>
        <w:p w:rsidR="003A6325" w:rsidRDefault="003A6325">
          <w:pPr>
            <w:rPr>
              <w:b/>
              <w:bCs/>
              <w:lang w:val="fi-FI"/>
            </w:rPr>
          </w:pPr>
        </w:p>
        <w:p w:rsidR="003A6325" w:rsidRDefault="003A6325">
          <w:pPr>
            <w:rPr>
              <w:b/>
              <w:bCs/>
              <w:lang w:val="fi-FI"/>
            </w:rPr>
          </w:pPr>
        </w:p>
        <w:p w:rsidR="003A6325" w:rsidRDefault="003A6325">
          <w:pPr>
            <w:rPr>
              <w:b/>
              <w:bCs/>
              <w:lang w:val="fi-FI"/>
            </w:rPr>
          </w:pPr>
        </w:p>
        <w:p w:rsidR="003A6325" w:rsidRDefault="003A6325">
          <w:pPr>
            <w:rPr>
              <w:b/>
              <w:bCs/>
              <w:lang w:val="fi-FI"/>
            </w:rPr>
          </w:pPr>
        </w:p>
        <w:p w:rsidR="003A6325" w:rsidRDefault="003A6325">
          <w:pPr>
            <w:rPr>
              <w:b/>
              <w:bCs/>
              <w:lang w:val="fi-FI"/>
            </w:rPr>
          </w:pPr>
        </w:p>
        <w:p w:rsidR="003A6325" w:rsidRDefault="003A6325">
          <w:pPr>
            <w:rPr>
              <w:b/>
              <w:bCs/>
              <w:lang w:val="fi-FI"/>
            </w:rPr>
          </w:pPr>
        </w:p>
        <w:p w:rsidR="003A6325" w:rsidRDefault="003A6325">
          <w:pPr>
            <w:rPr>
              <w:b/>
              <w:bCs/>
              <w:lang w:val="fi-FI"/>
            </w:rPr>
          </w:pPr>
        </w:p>
        <w:p w:rsidR="003A6325" w:rsidRDefault="003A6325">
          <w:pPr>
            <w:rPr>
              <w:b/>
              <w:bCs/>
              <w:lang w:val="fi-FI"/>
            </w:rPr>
          </w:pPr>
        </w:p>
        <w:p w:rsidR="003A6325" w:rsidRDefault="003A6325">
          <w:pPr>
            <w:rPr>
              <w:b/>
              <w:bCs/>
              <w:lang w:val="fi-FI"/>
            </w:rPr>
          </w:pPr>
        </w:p>
        <w:p w:rsidR="003A6325" w:rsidRDefault="003A6325">
          <w:pPr>
            <w:rPr>
              <w:b/>
              <w:bCs/>
              <w:lang w:val="fi-FI"/>
            </w:rPr>
          </w:pPr>
        </w:p>
        <w:p w:rsidR="003A6325" w:rsidRDefault="003A6325">
          <w:pPr>
            <w:rPr>
              <w:b/>
              <w:bCs/>
              <w:lang w:val="fi-FI"/>
            </w:rPr>
          </w:pPr>
        </w:p>
        <w:p w:rsidR="003A6325" w:rsidRDefault="00A41DC5"/>
      </w:sdtContent>
    </w:sdt>
    <w:p w:rsidR="00D5174A" w:rsidRPr="003A6325" w:rsidRDefault="003A6325" w:rsidP="003A6325">
      <w:pPr>
        <w:pStyle w:val="Heading1"/>
        <w:numPr>
          <w:ilvl w:val="0"/>
          <w:numId w:val="2"/>
        </w:numPr>
        <w:rPr>
          <w:b/>
          <w:color w:val="000000" w:themeColor="text1"/>
          <w:lang w:val="fi-FI"/>
        </w:rPr>
      </w:pPr>
      <w:bookmarkStart w:id="1" w:name="_Toc531271549"/>
      <w:r w:rsidRPr="00D5174A">
        <w:rPr>
          <w:b/>
          <w:color w:val="000000" w:themeColor="text1"/>
          <w:lang w:val="fi-FI"/>
        </w:rPr>
        <w:lastRenderedPageBreak/>
        <w:t>Sarjakirjan tarkoitus sekä yhte</w:t>
      </w:r>
      <w:r w:rsidR="00D5174A" w:rsidRPr="003A6325">
        <w:rPr>
          <w:b/>
          <w:color w:val="000000" w:themeColor="text1"/>
          <w:lang w:val="fi-FI"/>
        </w:rPr>
        <w:t>ystiedot</w:t>
      </w:r>
      <w:bookmarkEnd w:id="1"/>
      <w:r w:rsidR="00D5174A" w:rsidRPr="003A6325">
        <w:rPr>
          <w:b/>
          <w:color w:val="000000" w:themeColor="text1"/>
          <w:lang w:val="fi-FI"/>
        </w:rPr>
        <w:t xml:space="preserve"> </w:t>
      </w:r>
    </w:p>
    <w:p w:rsidR="00D5174A" w:rsidRPr="00D5174A" w:rsidRDefault="00D5174A" w:rsidP="00D5174A">
      <w:pPr>
        <w:rPr>
          <w:lang w:val="fi-FI"/>
        </w:rPr>
      </w:pPr>
      <w:r w:rsidRPr="00D5174A">
        <w:rPr>
          <w:lang w:val="fi-FI"/>
        </w:rPr>
        <w:t xml:space="preserve">Tästä sarjakirjasta löytyvät amerikkalaisen jalkapallon korkeakoulusarjan säännöt ja ohjeet mm. pelaajien edustuskelpoisuudesta, joita tulee noudattaa kilpailutoiminnassa. </w:t>
      </w:r>
    </w:p>
    <w:p w:rsidR="00D5174A" w:rsidRPr="00D5174A" w:rsidRDefault="00D5174A" w:rsidP="00D5174A">
      <w:pPr>
        <w:rPr>
          <w:lang w:val="fi-FI"/>
        </w:rPr>
      </w:pPr>
      <w:r w:rsidRPr="00D5174A">
        <w:rPr>
          <w:lang w:val="fi-FI"/>
        </w:rPr>
        <w:t>Korkeakoulujenkkifutis on opiskelijaurheilua</w:t>
      </w:r>
      <w:r>
        <w:rPr>
          <w:lang w:val="fi-FI"/>
        </w:rPr>
        <w:t>,</w:t>
      </w:r>
      <w:r w:rsidRPr="00D5174A">
        <w:rPr>
          <w:lang w:val="fi-FI"/>
        </w:rPr>
        <w:t xml:space="preserve"> jossa yhdistyy kilpatoiminta ja opiskelijahenki. Sarja on avoin kaikille suomalaisille korkeakouluille, jotka ovat ilmoittautuneet määräaikaan menneessä.  </w:t>
      </w:r>
    </w:p>
    <w:p w:rsidR="00D5174A" w:rsidRPr="00D5174A" w:rsidRDefault="00D5174A" w:rsidP="00D5174A">
      <w:pPr>
        <w:rPr>
          <w:lang w:val="fi-FI"/>
        </w:rPr>
      </w:pPr>
      <w:r w:rsidRPr="00D5174A">
        <w:rPr>
          <w:lang w:val="fi-FI"/>
        </w:rPr>
        <w:t>Sarjakirjan tarkoitus on koota yhteen korkeakoulujefukomi</w:t>
      </w:r>
      <w:r>
        <w:rPr>
          <w:lang w:val="fi-FI"/>
        </w:rPr>
        <w:t>t</w:t>
      </w:r>
      <w:r w:rsidRPr="00D5174A">
        <w:rPr>
          <w:lang w:val="fi-FI"/>
        </w:rPr>
        <w:t xml:space="preserve">ean päätöksiä ja sarjan käytäntöjä, luoda pitkäjänteisiä suuntaviivoja ja yhteisiä reiluja pelisääntöjä korkeakoulutoiminnalle ja samalla toimia ohjenuorana joukkueille heidän vastuistaan. </w:t>
      </w:r>
    </w:p>
    <w:p w:rsidR="00D5174A" w:rsidRPr="00D5174A" w:rsidRDefault="00D5174A" w:rsidP="00D5174A">
      <w:pPr>
        <w:rPr>
          <w:lang w:val="fi-FI"/>
        </w:rPr>
      </w:pPr>
      <w:r w:rsidRPr="00D5174A">
        <w:rPr>
          <w:lang w:val="fi-FI"/>
        </w:rPr>
        <w:t>Sarjakirjan lisäksi korkeakoulusarja sekä sen joukkueet noudattavat soveltuvin osin Suomen amerikkalaisen jalkapallon liiton kilpailusääntöjä sekä mahdollisia sarjakirjan ulkopuolisia korkeakoulujefukomitean ja sarjapäällikön tekemiä päätöksiä.</w:t>
      </w:r>
    </w:p>
    <w:p w:rsidR="00D5174A" w:rsidRDefault="00D5174A" w:rsidP="00D5174A">
      <w:pPr>
        <w:rPr>
          <w:lang w:val="fi-FI"/>
        </w:rPr>
      </w:pPr>
      <w:r w:rsidRPr="00D5174A">
        <w:rPr>
          <w:lang w:val="fi-FI"/>
        </w:rPr>
        <w:t>Korkeakoulujenkkifutiss</w:t>
      </w:r>
      <w:r w:rsidR="00F76834">
        <w:rPr>
          <w:lang w:val="fi-FI"/>
        </w:rPr>
        <w:t>arjan sarjapäällikkö vuonna 2020</w:t>
      </w:r>
      <w:r w:rsidRPr="00D5174A">
        <w:rPr>
          <w:lang w:val="fi-FI"/>
        </w:rPr>
        <w:t xml:space="preserve"> on </w:t>
      </w:r>
      <w:r w:rsidR="00F76834">
        <w:rPr>
          <w:lang w:val="fi-FI"/>
        </w:rPr>
        <w:t>Juuso Karppinen</w:t>
      </w:r>
      <w:r w:rsidRPr="00D5174A">
        <w:rPr>
          <w:lang w:val="fi-FI"/>
        </w:rPr>
        <w:t xml:space="preserve"> (puh. 04</w:t>
      </w:r>
      <w:r w:rsidR="00F76834">
        <w:rPr>
          <w:lang w:val="fi-FI"/>
        </w:rPr>
        <w:t>4</w:t>
      </w:r>
      <w:r w:rsidRPr="00D5174A">
        <w:rPr>
          <w:lang w:val="fi-FI"/>
        </w:rPr>
        <w:t xml:space="preserve"> </w:t>
      </w:r>
      <w:r w:rsidR="00F76834">
        <w:rPr>
          <w:lang w:val="fi-FI"/>
        </w:rPr>
        <w:t>5018646</w:t>
      </w:r>
      <w:r w:rsidRPr="00D5174A">
        <w:rPr>
          <w:lang w:val="fi-FI"/>
        </w:rPr>
        <w:t xml:space="preserve">, sähköposti: </w:t>
      </w:r>
      <w:r w:rsidR="00F76834">
        <w:rPr>
          <w:lang w:val="fi-FI"/>
        </w:rPr>
        <w:t>jkarppinen54</w:t>
      </w:r>
      <w:r w:rsidRPr="00D5174A">
        <w:rPr>
          <w:lang w:val="fi-FI"/>
        </w:rPr>
        <w:t xml:space="preserve"> (at) gmail.com). </w:t>
      </w:r>
    </w:p>
    <w:p w:rsidR="00D5174A" w:rsidRPr="00D5174A" w:rsidRDefault="00D5174A" w:rsidP="00D5174A">
      <w:pPr>
        <w:pStyle w:val="Heading1"/>
        <w:rPr>
          <w:b/>
          <w:color w:val="000000" w:themeColor="text1"/>
          <w:lang w:val="fi-FI"/>
        </w:rPr>
      </w:pPr>
    </w:p>
    <w:p w:rsidR="00D5174A" w:rsidRDefault="00D5174A" w:rsidP="00D5174A">
      <w:pPr>
        <w:pStyle w:val="Heading1"/>
        <w:numPr>
          <w:ilvl w:val="0"/>
          <w:numId w:val="2"/>
        </w:numPr>
        <w:rPr>
          <w:b/>
          <w:color w:val="000000" w:themeColor="text1"/>
          <w:lang w:val="fi-FI"/>
        </w:rPr>
      </w:pPr>
      <w:bookmarkStart w:id="2" w:name="_Toc531271550"/>
      <w:r w:rsidRPr="00D5174A">
        <w:rPr>
          <w:b/>
          <w:color w:val="000000" w:themeColor="text1"/>
          <w:lang w:val="fi-FI"/>
        </w:rPr>
        <w:t>Sarjamuoto sekä erotuomarit</w:t>
      </w:r>
      <w:bookmarkEnd w:id="2"/>
      <w:r w:rsidRPr="00D5174A">
        <w:rPr>
          <w:b/>
          <w:color w:val="000000" w:themeColor="text1"/>
          <w:lang w:val="fi-FI"/>
        </w:rPr>
        <w:t xml:space="preserve"> </w:t>
      </w:r>
    </w:p>
    <w:p w:rsidR="00D5174A" w:rsidRPr="00D5174A" w:rsidRDefault="00D5174A" w:rsidP="00D5174A">
      <w:pPr>
        <w:rPr>
          <w:lang w:val="fi-FI"/>
        </w:rPr>
      </w:pPr>
      <w:r w:rsidRPr="00D5174A">
        <w:rPr>
          <w:lang w:val="fi-FI"/>
        </w:rPr>
        <w:t xml:space="preserve">Sarjassa pelataan runkosarja, joka voidaan joukkueiden lukumäärästä riippuen pelata lohkomuotoisena. Runkosarjan </w:t>
      </w:r>
      <w:r>
        <w:rPr>
          <w:lang w:val="fi-FI"/>
        </w:rPr>
        <w:t>peliajankohta on 1.</w:t>
      </w:r>
      <w:r w:rsidR="00F76834">
        <w:rPr>
          <w:lang w:val="fi-FI"/>
        </w:rPr>
        <w:t>1</w:t>
      </w:r>
      <w:r>
        <w:rPr>
          <w:lang w:val="fi-FI"/>
        </w:rPr>
        <w:t xml:space="preserve">.– </w:t>
      </w:r>
      <w:r w:rsidR="00F76834">
        <w:rPr>
          <w:lang w:val="fi-FI"/>
        </w:rPr>
        <w:t>1</w:t>
      </w:r>
      <w:r>
        <w:rPr>
          <w:lang w:val="fi-FI"/>
        </w:rPr>
        <w:t>2.4.20</w:t>
      </w:r>
      <w:r w:rsidR="00F76834">
        <w:rPr>
          <w:lang w:val="fi-FI"/>
        </w:rPr>
        <w:t>20</w:t>
      </w:r>
      <w:r w:rsidRPr="00D5174A">
        <w:rPr>
          <w:lang w:val="fi-FI"/>
        </w:rPr>
        <w:t>. Joukkueiden järjestys runkosarjassa määräytyy SAJL:n virallisten kilpailusääntöjen mukaan.</w:t>
      </w:r>
    </w:p>
    <w:p w:rsidR="006609F8" w:rsidRDefault="00D5174A" w:rsidP="00D5174A">
      <w:pPr>
        <w:rPr>
          <w:lang w:val="fi-FI"/>
        </w:rPr>
      </w:pPr>
      <w:r w:rsidRPr="00D5174A">
        <w:rPr>
          <w:lang w:val="fi-FI"/>
        </w:rPr>
        <w:t>Runkosarjaa seuraa cup-muotoinen lopputurnaus ("Student Bowl") huhtikuussa</w:t>
      </w:r>
      <w:r w:rsidR="00F76834">
        <w:rPr>
          <w:lang w:val="fi-FI"/>
        </w:rPr>
        <w:t xml:space="preserve"> (24. – 25.4.)</w:t>
      </w:r>
      <w:r w:rsidRPr="00D5174A">
        <w:rPr>
          <w:lang w:val="fi-FI"/>
        </w:rPr>
        <w:t>. Turnauksen järjestävästä tahosta sekä pelipaikkakunnasta sovitaan vuosittain korkeakoulujefukomitean kesken. Lopputurnaukseen osallistumisoikeus on korkeakoulujefukomitean vuosittain päättämästä lopullisesta sarjamuodosta ri</w:t>
      </w:r>
      <w:r>
        <w:rPr>
          <w:lang w:val="fi-FI"/>
        </w:rPr>
        <w:t>ippuen kansallisesti 4-8</w:t>
      </w:r>
      <w:r w:rsidRPr="00D5174A">
        <w:rPr>
          <w:lang w:val="fi-FI"/>
        </w:rPr>
        <w:t xml:space="preserve"> parhaalla joukkueella.</w:t>
      </w:r>
    </w:p>
    <w:p w:rsidR="00D5174A" w:rsidRDefault="00D5174A" w:rsidP="00D5174A">
      <w:pPr>
        <w:rPr>
          <w:lang w:val="fi-FI"/>
        </w:rPr>
      </w:pPr>
    </w:p>
    <w:p w:rsidR="00D5174A" w:rsidRDefault="00D5174A" w:rsidP="00D5174A">
      <w:pPr>
        <w:pStyle w:val="Heading1"/>
        <w:numPr>
          <w:ilvl w:val="0"/>
          <w:numId w:val="2"/>
        </w:numPr>
        <w:rPr>
          <w:b/>
          <w:color w:val="000000" w:themeColor="text1"/>
        </w:rPr>
      </w:pPr>
      <w:bookmarkStart w:id="3" w:name="_Toc531271551"/>
      <w:proofErr w:type="spellStart"/>
      <w:r w:rsidRPr="00D5174A">
        <w:rPr>
          <w:rStyle w:val="Heading2Char"/>
          <w:b/>
          <w:color w:val="000000" w:themeColor="text1"/>
          <w:sz w:val="32"/>
          <w:szCs w:val="32"/>
        </w:rPr>
        <w:t>Sarjaan</w:t>
      </w:r>
      <w:proofErr w:type="spellEnd"/>
      <w:r w:rsidRPr="00D5174A">
        <w:rPr>
          <w:rStyle w:val="Heading2Char"/>
          <w:b/>
          <w:color w:val="000000" w:themeColor="text1"/>
          <w:sz w:val="32"/>
          <w:szCs w:val="32"/>
        </w:rPr>
        <w:t xml:space="preserve"> </w:t>
      </w:r>
      <w:proofErr w:type="spellStart"/>
      <w:r w:rsidRPr="00D5174A">
        <w:rPr>
          <w:rStyle w:val="Heading2Char"/>
          <w:b/>
          <w:color w:val="000000" w:themeColor="text1"/>
          <w:sz w:val="32"/>
          <w:szCs w:val="32"/>
        </w:rPr>
        <w:t>ilmoittautuminen</w:t>
      </w:r>
      <w:bookmarkEnd w:id="3"/>
      <w:proofErr w:type="spellEnd"/>
      <w:r w:rsidRPr="00D5174A">
        <w:rPr>
          <w:b/>
          <w:color w:val="000000" w:themeColor="text1"/>
        </w:rPr>
        <w:t xml:space="preserve"> </w:t>
      </w:r>
    </w:p>
    <w:p w:rsidR="00D5174A" w:rsidRPr="00D5174A" w:rsidRDefault="00D5174A" w:rsidP="00D5174A">
      <w:pPr>
        <w:rPr>
          <w:lang w:val="fi-FI"/>
        </w:rPr>
      </w:pPr>
      <w:r w:rsidRPr="00D5174A">
        <w:rPr>
          <w:lang w:val="fi-FI"/>
        </w:rPr>
        <w:t xml:space="preserve">Jokaisen korkeakoulujoukkueen tulee olla jonkin SAJL:n jäsenseuran yhteistyöseura, lajiliiton jäsen tai osallistua sarjaan kirjallisella suostumuksella noudattaa sarjamääräyksiä ja kilpailusääntöjä. </w:t>
      </w:r>
    </w:p>
    <w:p w:rsidR="00D5174A" w:rsidRPr="00D5174A" w:rsidRDefault="00D5174A" w:rsidP="00D5174A">
      <w:pPr>
        <w:rPr>
          <w:lang w:val="fi-FI"/>
        </w:rPr>
      </w:pPr>
      <w:r>
        <w:rPr>
          <w:lang w:val="fi-FI"/>
        </w:rPr>
        <w:t>Ilmoittautuminen tulee tehdä vuosittain määräaikaan mennessä kulloinkin ohjeistetulle taholle, sisältäen seuraavat tiedot joukkueesta:</w:t>
      </w:r>
    </w:p>
    <w:p w:rsidR="00D5174A" w:rsidRPr="00D5174A" w:rsidRDefault="00D5174A" w:rsidP="00D5174A">
      <w:pPr>
        <w:rPr>
          <w:lang w:val="fi-FI"/>
        </w:rPr>
      </w:pPr>
      <w:r w:rsidRPr="00D5174A">
        <w:rPr>
          <w:lang w:val="fi-FI"/>
        </w:rPr>
        <w:t xml:space="preserve">1) Joukkueen nimi 2) Korkeakoulu(t), jota joukkue edustaa* 3) Pelipaidan väri 4) Joukkueen kotikenttä (jos tiedossa) 5) Joukkueen yhteystiedot </w:t>
      </w:r>
    </w:p>
    <w:p w:rsidR="00D5174A" w:rsidRPr="00D5174A" w:rsidRDefault="00D5174A" w:rsidP="00D5174A">
      <w:pPr>
        <w:rPr>
          <w:sz w:val="20"/>
          <w:szCs w:val="20"/>
          <w:lang w:val="fi-FI"/>
        </w:rPr>
      </w:pPr>
      <w:r w:rsidRPr="00D5174A">
        <w:rPr>
          <w:sz w:val="20"/>
          <w:szCs w:val="20"/>
          <w:lang w:val="fi-FI"/>
        </w:rPr>
        <w:t>* Joukkue voi muodostaa yhdistelmäjoukkueen u</w:t>
      </w:r>
      <w:r>
        <w:rPr>
          <w:sz w:val="20"/>
          <w:szCs w:val="20"/>
          <w:lang w:val="fi-FI"/>
        </w:rPr>
        <w:t xml:space="preserve">seamman korkeakoulun kesken. </w:t>
      </w:r>
      <w:r w:rsidRPr="00D5174A">
        <w:rPr>
          <w:sz w:val="20"/>
          <w:szCs w:val="20"/>
          <w:lang w:val="fi-FI"/>
        </w:rPr>
        <w:t>Yhdistelmäjoukkueen korkeakoulujen tulee kuitenkin olla samalta paikkakunnalta.</w:t>
      </w:r>
    </w:p>
    <w:p w:rsidR="00D5174A" w:rsidRDefault="00D5174A" w:rsidP="00D5174A">
      <w:pPr>
        <w:pStyle w:val="Heading1"/>
        <w:numPr>
          <w:ilvl w:val="0"/>
          <w:numId w:val="2"/>
        </w:numPr>
        <w:rPr>
          <w:b/>
          <w:color w:val="000000" w:themeColor="text1"/>
          <w:lang w:val="fi-FI"/>
        </w:rPr>
      </w:pPr>
      <w:bookmarkStart w:id="4" w:name="_Toc531271552"/>
      <w:r w:rsidRPr="00D5174A">
        <w:rPr>
          <w:b/>
          <w:color w:val="000000" w:themeColor="text1"/>
          <w:lang w:val="fi-FI"/>
        </w:rPr>
        <w:t>Säännöt ja pelikenttä</w:t>
      </w:r>
      <w:bookmarkEnd w:id="4"/>
      <w:r w:rsidRPr="00D5174A">
        <w:rPr>
          <w:b/>
          <w:color w:val="000000" w:themeColor="text1"/>
          <w:lang w:val="fi-FI"/>
        </w:rPr>
        <w:t xml:space="preserve"> </w:t>
      </w:r>
    </w:p>
    <w:p w:rsidR="00D5174A" w:rsidRPr="00D5174A" w:rsidRDefault="00D5174A" w:rsidP="00D5174A">
      <w:pPr>
        <w:rPr>
          <w:lang w:val="fi-FI"/>
        </w:rPr>
      </w:pPr>
      <w:r w:rsidRPr="00D5174A">
        <w:rPr>
          <w:lang w:val="fi-FI"/>
        </w:rPr>
        <w:t xml:space="preserve">Korkeakoulusarjassa noudatetaan SAJL:n virallisia pelisääntöjä määrätyin poikkeuksin, jotka löytyvät korkeakoulujefukomitean sähköisestä jakelukanavasta sekä julkisesti SAJL:n materiaalipankista </w:t>
      </w:r>
      <w:r w:rsidRPr="00D5174A">
        <w:rPr>
          <w:lang w:val="fi-FI"/>
        </w:rPr>
        <w:lastRenderedPageBreak/>
        <w:t>osoitteesta http://www.sajl.fi/seurapalvelut/materiaalit/saannot-sarjakirjat/ ("Korkeakoulusarjan Pelisäännöt").</w:t>
      </w:r>
    </w:p>
    <w:p w:rsidR="00D5174A" w:rsidRDefault="00D5174A" w:rsidP="00D5174A">
      <w:pPr>
        <w:rPr>
          <w:lang w:val="fi-FI"/>
        </w:rPr>
      </w:pPr>
      <w:r w:rsidRPr="00D5174A">
        <w:rPr>
          <w:lang w:val="fi-FI"/>
        </w:rPr>
        <w:t>Ottelut tulee pyrkiä pelaamaan ensisijaisesti tekon</w:t>
      </w:r>
      <w:r>
        <w:rPr>
          <w:lang w:val="fi-FI"/>
        </w:rPr>
        <w:t xml:space="preserve">urmella, nurmella tai muulla vastaavalla pehmeällä </w:t>
      </w:r>
      <w:r w:rsidRPr="00D5174A">
        <w:rPr>
          <w:lang w:val="fi-FI"/>
        </w:rPr>
        <w:t xml:space="preserve">alustalla. Jos molemmille joukkueille asia sopii, </w:t>
      </w:r>
      <w:r>
        <w:rPr>
          <w:lang w:val="fi-FI"/>
        </w:rPr>
        <w:t>ottelu voidaan pelata myös ns. kovalla alustalla (esim. p</w:t>
      </w:r>
      <w:r w:rsidRPr="00D5174A">
        <w:rPr>
          <w:lang w:val="fi-FI"/>
        </w:rPr>
        <w:t xml:space="preserve">arkettipinnoite). </w:t>
      </w:r>
      <w:r>
        <w:rPr>
          <w:lang w:val="fi-FI"/>
        </w:rPr>
        <w:t>Pelikentän tulee olla 30-40 jaardia leveä ja 60-80 jaardia pitkä.</w:t>
      </w:r>
      <w:r w:rsidR="000F654D">
        <w:rPr>
          <w:lang w:val="fi-FI"/>
        </w:rPr>
        <w:t xml:space="preserve"> On suositeltavaa, että molemmille joukkueille ja tuomareille löytyy asiaan kuluvat pukuhuonetilat ja suihkut, mutta jos näitä ei ole saatavilla on 1) kotijoukkueen toimittava ilman pukuhuonetta 2) kotijoukkueen ilmoitettava vastustajalle olosuhteista.</w:t>
      </w:r>
    </w:p>
    <w:p w:rsidR="00D5174A" w:rsidRDefault="00D5174A" w:rsidP="00D5174A">
      <w:pPr>
        <w:pStyle w:val="Heading1"/>
        <w:numPr>
          <w:ilvl w:val="0"/>
          <w:numId w:val="2"/>
        </w:numPr>
        <w:rPr>
          <w:b/>
          <w:color w:val="000000" w:themeColor="text1"/>
          <w:lang w:val="fi-FI"/>
        </w:rPr>
      </w:pPr>
      <w:bookmarkStart w:id="5" w:name="_Toc531271553"/>
      <w:r w:rsidRPr="00D5174A">
        <w:rPr>
          <w:b/>
          <w:color w:val="000000" w:themeColor="text1"/>
          <w:lang w:val="fi-FI"/>
        </w:rPr>
        <w:t>Ottelumääräykset</w:t>
      </w:r>
      <w:bookmarkEnd w:id="5"/>
      <w:r w:rsidRPr="00D5174A">
        <w:rPr>
          <w:b/>
          <w:color w:val="000000" w:themeColor="text1"/>
          <w:lang w:val="fi-FI"/>
        </w:rPr>
        <w:t xml:space="preserve"> </w:t>
      </w:r>
    </w:p>
    <w:p w:rsidR="00D5174A" w:rsidRDefault="000F654D" w:rsidP="00D5174A">
      <w:pPr>
        <w:rPr>
          <w:lang w:val="fi-FI"/>
        </w:rPr>
      </w:pPr>
      <w:r>
        <w:rPr>
          <w:lang w:val="fi-FI"/>
        </w:rPr>
        <w:t>H</w:t>
      </w:r>
      <w:r w:rsidR="00D5174A" w:rsidRPr="00D5174A">
        <w:rPr>
          <w:lang w:val="fi-FI"/>
        </w:rPr>
        <w:t>uoltajat, toimitsijat, valmentajat, erotuomarit ja muut ottelutapahtumissa ja harjoituksissa mukana olevat henkilöt osallistuvat omalla vastuullaan harjoituksiin ja otteluihin. Liitto ja sen alajärjestöt eivät vastaa ni</w:t>
      </w:r>
      <w:r>
        <w:rPr>
          <w:lang w:val="fi-FI"/>
        </w:rPr>
        <w:t>issä sattuneista vahingoista. Pelaajien tulee</w:t>
      </w:r>
      <w:r w:rsidR="00D5174A" w:rsidRPr="00D5174A">
        <w:rPr>
          <w:lang w:val="fi-FI"/>
        </w:rPr>
        <w:t xml:space="preserve"> huolehtia, että heillä on voimassa amerikkalaisen jalkapallon kattava vakuutus kohdan 7. mukaisesti.</w:t>
      </w:r>
    </w:p>
    <w:p w:rsidR="000F654D" w:rsidRDefault="000F654D" w:rsidP="00D5174A">
      <w:pPr>
        <w:rPr>
          <w:lang w:val="fi-FI"/>
        </w:rPr>
      </w:pPr>
      <w:r>
        <w:rPr>
          <w:lang w:val="fi-FI"/>
        </w:rPr>
        <w:t>Ottelutapahtumassa tulee olla paikalla vähintään EA1-kortillinen ensiapuhenkilö. Lääkäri, lääketieteen kandidaatti tai ensihoitaja (AMK) lasketaan myös kelpoiseksi, kuten myös SAJL:n järjestämän hätäensiapukurssin käynyt henkilö. Ensiapuhenkilö ilmoittautuu ennen pelin alkua ottelun päätuomarille ja on koko ottelun ajan välittömässä valmiudessa auttamaan.</w:t>
      </w:r>
    </w:p>
    <w:p w:rsidR="000F654D" w:rsidRDefault="000F654D" w:rsidP="00D5174A">
      <w:pPr>
        <w:rPr>
          <w:lang w:val="fi-FI"/>
        </w:rPr>
      </w:pPr>
      <w:r>
        <w:rPr>
          <w:lang w:val="fi-FI"/>
        </w:rPr>
        <w:t xml:space="preserve">Kotijoukkueen tulee toimittaa vierasjoukkueelle jäitä 10 litraa, tai osoittaa jääkone ottelupaikalta. Vierasjoukkueella on oltava tätä varten oma astia (kylmälaukku). </w:t>
      </w:r>
    </w:p>
    <w:p w:rsidR="000F654D" w:rsidRDefault="000F654D" w:rsidP="00D5174A">
      <w:pPr>
        <w:rPr>
          <w:lang w:val="fi-FI"/>
        </w:rPr>
      </w:pPr>
      <w:r>
        <w:rPr>
          <w:lang w:val="fi-FI"/>
        </w:rPr>
        <w:t xml:space="preserve">Muut SAJL:n virallisten kilpasääntöjen </w:t>
      </w:r>
      <w:r w:rsidR="00F93568">
        <w:rPr>
          <w:lang w:val="fi-FI"/>
        </w:rPr>
        <w:t>ottelu</w:t>
      </w:r>
      <w:r>
        <w:rPr>
          <w:lang w:val="fi-FI"/>
        </w:rPr>
        <w:t>määräykset ovat suosituksia, ja on toivottavaa, että niihin pyritään. Laiminlyönneistä ja rikkeistä tulee raportoida sarjapäällikölle, joka ratkaisee asian.</w:t>
      </w:r>
    </w:p>
    <w:p w:rsidR="00F93568" w:rsidRDefault="00F93568" w:rsidP="00D5174A">
      <w:pPr>
        <w:rPr>
          <w:lang w:val="fi-FI"/>
        </w:rPr>
      </w:pPr>
    </w:p>
    <w:p w:rsidR="00F93568" w:rsidRPr="00F93568" w:rsidRDefault="00F93568" w:rsidP="00F93568">
      <w:pPr>
        <w:pStyle w:val="Heading2"/>
        <w:rPr>
          <w:b/>
          <w:color w:val="000000" w:themeColor="text1"/>
          <w:lang w:val="fi-FI"/>
        </w:rPr>
      </w:pPr>
      <w:bookmarkStart w:id="6" w:name="_Toc531271554"/>
      <w:r w:rsidRPr="00F93568">
        <w:rPr>
          <w:b/>
          <w:color w:val="000000" w:themeColor="text1"/>
          <w:lang w:val="fi-FI"/>
        </w:rPr>
        <w:t>5.1 Kotijoukkueen velvoitteet</w:t>
      </w:r>
      <w:bookmarkEnd w:id="6"/>
    </w:p>
    <w:p w:rsidR="00F93568" w:rsidRPr="00F93568" w:rsidRDefault="00F93568" w:rsidP="00F93568">
      <w:pPr>
        <w:rPr>
          <w:lang w:val="fi-FI"/>
        </w:rPr>
      </w:pPr>
      <w:r w:rsidRPr="00F93568">
        <w:rPr>
          <w:lang w:val="fi-FI"/>
        </w:rPr>
        <w:t xml:space="preserve">Kotijoukkue vastaa otteluiden järjestämisestä ja niihin liittyvistä kustannuksista, kuten kenttävaraukset, kenttävarusteet, pukutilat yms. sekä muista ottelutapahtumaan liittyvistä järjestelyistä niin, että ottelu </w:t>
      </w:r>
      <w:r>
        <w:rPr>
          <w:lang w:val="fi-FI"/>
        </w:rPr>
        <w:t>voidaan asianmukaisesti pelata.</w:t>
      </w:r>
    </w:p>
    <w:p w:rsidR="00F93568" w:rsidRPr="00F93568" w:rsidRDefault="00F93568" w:rsidP="00F93568">
      <w:pPr>
        <w:rPr>
          <w:lang w:val="fi-FI"/>
        </w:rPr>
      </w:pPr>
      <w:r w:rsidRPr="00F93568">
        <w:rPr>
          <w:lang w:val="fi-FI"/>
        </w:rPr>
        <w:t>Otteluajankohdat ja –paikat on ilmoite</w:t>
      </w:r>
      <w:r>
        <w:rPr>
          <w:lang w:val="fi-FI"/>
        </w:rPr>
        <w:t>ttava sarjapäällikölle 31.1</w:t>
      </w:r>
      <w:r w:rsidR="00F76834">
        <w:rPr>
          <w:lang w:val="fi-FI"/>
        </w:rPr>
        <w:t>2</w:t>
      </w:r>
      <w:r>
        <w:rPr>
          <w:lang w:val="fi-FI"/>
        </w:rPr>
        <w:t>.2019</w:t>
      </w:r>
      <w:r w:rsidRPr="00F93568">
        <w:rPr>
          <w:lang w:val="fi-FI"/>
        </w:rPr>
        <w:t xml:space="preserve"> menneessä ja ne päivitetään liiton kotisivuille. </w:t>
      </w:r>
      <w:r w:rsidR="00F76834">
        <w:rPr>
          <w:lang w:val="fi-FI"/>
        </w:rPr>
        <w:t xml:space="preserve">Sarjapäällikkö muodostaa otteluohjelman sekä ilmoittaa viikon, jolloin ottelut pelataan. </w:t>
      </w:r>
      <w:r>
        <w:rPr>
          <w:lang w:val="fi-FI"/>
        </w:rPr>
        <w:t xml:space="preserve">Koti- ja vierasjoukkue sopivat lähtökohtaisesti yhdessä kummallekin joukkueelle sopivan pelipäivän, ja kotijoukkue lähettää ottelukutsun vierasjoukkueelle </w:t>
      </w:r>
      <w:r w:rsidR="00F76834">
        <w:rPr>
          <w:lang w:val="fi-FI"/>
        </w:rPr>
        <w:t xml:space="preserve">vähintään </w:t>
      </w:r>
      <w:r>
        <w:rPr>
          <w:lang w:val="fi-FI"/>
        </w:rPr>
        <w:t>kaksi viikkoa ennen ottelua. Ottelukutsussa tulee kertoa pelipaikan sijainti, kotijoukkueen pelipaidan väri, pelin alkamisaika sekä järjestelyt (esim. selostus, ottelun streamaus, milloin kenttä on vapaa lämmittelylle).</w:t>
      </w:r>
    </w:p>
    <w:p w:rsidR="00F93568" w:rsidRPr="00F93568" w:rsidRDefault="00F93568" w:rsidP="00F93568">
      <w:pPr>
        <w:rPr>
          <w:lang w:val="fi-FI"/>
        </w:rPr>
      </w:pPr>
      <w:r w:rsidRPr="00F93568">
        <w:rPr>
          <w:lang w:val="fi-FI"/>
        </w:rPr>
        <w:t xml:space="preserve">Kotijoukkueen tulee ilmoittaa vastustajalle </w:t>
      </w:r>
      <w:r>
        <w:rPr>
          <w:lang w:val="fi-FI"/>
        </w:rPr>
        <w:t xml:space="preserve">hyvissä ajoin, mikäli ja miltä </w:t>
      </w:r>
      <w:r w:rsidRPr="00F93568">
        <w:rPr>
          <w:lang w:val="fi-FI"/>
        </w:rPr>
        <w:t xml:space="preserve">osin se aikoo poiketa </w:t>
      </w:r>
      <w:r>
        <w:rPr>
          <w:lang w:val="fi-FI"/>
        </w:rPr>
        <w:t>tämän dokumentin</w:t>
      </w:r>
      <w:r w:rsidRPr="00F93568">
        <w:rPr>
          <w:lang w:val="fi-FI"/>
        </w:rPr>
        <w:t xml:space="preserve"> mukaisista ottelunjärjestämisvastuistaan, </w:t>
      </w:r>
      <w:r>
        <w:rPr>
          <w:lang w:val="fi-FI"/>
        </w:rPr>
        <w:t xml:space="preserve">kuten </w:t>
      </w:r>
      <w:r w:rsidRPr="00F93568">
        <w:rPr>
          <w:lang w:val="fi-FI"/>
        </w:rPr>
        <w:t>kentän p</w:t>
      </w:r>
      <w:r>
        <w:rPr>
          <w:lang w:val="fi-FI"/>
        </w:rPr>
        <w:t>innoitteesta. Pelaajaturvallisuus ei saa oleel</w:t>
      </w:r>
      <w:r w:rsidRPr="00F93568">
        <w:rPr>
          <w:lang w:val="fi-FI"/>
        </w:rPr>
        <w:t>lisesti vaarantua tällaisten poikkeuksien johdosta. Erimielisyyksissä asia on tuotava sarjapäällikön tietoon, joka tekee asiassa päätöksen.</w:t>
      </w:r>
    </w:p>
    <w:p w:rsidR="00F93568" w:rsidRDefault="00F93568" w:rsidP="00F93568">
      <w:pPr>
        <w:rPr>
          <w:lang w:val="fi-FI"/>
        </w:rPr>
      </w:pPr>
      <w:r w:rsidRPr="00F93568">
        <w:rPr>
          <w:lang w:val="fi-FI"/>
        </w:rPr>
        <w:t>Jos kotijoukkue ei pysty järjestämään sille osoitettua ottelua, tulee siitä välittömästi ilmoittaa sarjapäällikölle ja vastustajalle ennen sarjan alkua. Kyseinen ottelu siirtyy vierasjoukkueen järjestettäväksi. Mikäli ottelua ei pystytä vieläkään pelaamaan, se mitätöidään eikä kumpikaan joukkue saa siitä pisteitä. Ottelun mitätöinnistä päättää sarjapäällikkö.</w:t>
      </w:r>
    </w:p>
    <w:p w:rsidR="00F93568" w:rsidRPr="00F93568" w:rsidRDefault="00F93568" w:rsidP="00F93568">
      <w:pPr>
        <w:rPr>
          <w:lang w:val="fi-FI"/>
        </w:rPr>
      </w:pPr>
    </w:p>
    <w:p w:rsidR="00F93568" w:rsidRDefault="00F93568" w:rsidP="00F93568">
      <w:pPr>
        <w:pStyle w:val="Heading2"/>
        <w:numPr>
          <w:ilvl w:val="1"/>
          <w:numId w:val="2"/>
        </w:numPr>
        <w:rPr>
          <w:b/>
          <w:color w:val="000000" w:themeColor="text1"/>
          <w:lang w:val="fi-FI"/>
        </w:rPr>
      </w:pPr>
      <w:bookmarkStart w:id="7" w:name="_Toc531271555"/>
      <w:r w:rsidRPr="00F93568">
        <w:rPr>
          <w:b/>
          <w:color w:val="000000" w:themeColor="text1"/>
          <w:lang w:val="fi-FI"/>
        </w:rPr>
        <w:t>Tuomarit</w:t>
      </w:r>
      <w:bookmarkEnd w:id="7"/>
    </w:p>
    <w:p w:rsidR="00F93568" w:rsidRPr="00F93568" w:rsidRDefault="00F93568" w:rsidP="00F93568">
      <w:pPr>
        <w:rPr>
          <w:lang w:val="fi-FI"/>
        </w:rPr>
      </w:pPr>
      <w:r w:rsidRPr="00F93568">
        <w:rPr>
          <w:lang w:val="fi-FI"/>
        </w:rPr>
        <w:t>Joukkueiden tulee ennen ottelua sekä itse otteluissa pyrkiä yhteistyöhön tuomareiden kanssa niin, että pelitapahtuma voidaan onnistuneesti viedä läpi. Kotijoukkueen tulee järjestää tuomareille heidän niin pyytäessään pukeutumistilat ja varmistaa, että tuomareiden käytössä ovat chain crew (ja tarvittaessa pallopojat) hyvissä ajoin ennen ottelun alkua.</w:t>
      </w:r>
    </w:p>
    <w:p w:rsidR="00F93568" w:rsidRDefault="00F93568" w:rsidP="00F93568">
      <w:pPr>
        <w:rPr>
          <w:lang w:val="fi-FI"/>
        </w:rPr>
      </w:pPr>
      <w:r w:rsidRPr="00F93568">
        <w:rPr>
          <w:lang w:val="fi-FI"/>
        </w:rPr>
        <w:t xml:space="preserve">Tuomareiden </w:t>
      </w:r>
      <w:r w:rsidR="00F76834">
        <w:rPr>
          <w:lang w:val="fi-FI"/>
        </w:rPr>
        <w:t xml:space="preserve">tulee </w:t>
      </w:r>
      <w:r w:rsidRPr="00F93568">
        <w:rPr>
          <w:lang w:val="fi-FI"/>
        </w:rPr>
        <w:t>toimittaa ottelusta viralli</w:t>
      </w:r>
      <w:r w:rsidR="00F76834">
        <w:rPr>
          <w:lang w:val="fi-FI"/>
        </w:rPr>
        <w:t>nen</w:t>
      </w:r>
      <w:r w:rsidRPr="00F93568">
        <w:rPr>
          <w:lang w:val="fi-FI"/>
        </w:rPr>
        <w:t xml:space="preserve"> pöytäkirja</w:t>
      </w:r>
      <w:r w:rsidR="00F76834">
        <w:rPr>
          <w:lang w:val="fi-FI"/>
        </w:rPr>
        <w:t xml:space="preserve"> </w:t>
      </w:r>
      <w:r w:rsidR="00F56521">
        <w:rPr>
          <w:lang w:val="fi-FI"/>
        </w:rPr>
        <w:t>(</w:t>
      </w:r>
      <w:hyperlink r:id="rId6" w:history="1">
        <w:r w:rsidR="00F56521" w:rsidRPr="007B4330">
          <w:rPr>
            <w:rStyle w:val="Hyperlink"/>
            <w:lang w:val="fi-FI"/>
          </w:rPr>
          <w:t>https://www.sajl.fi/@Bin/9760774/PKTK2019_kevyt.xls</w:t>
        </w:r>
      </w:hyperlink>
      <w:r w:rsidR="00F56521">
        <w:rPr>
          <w:lang w:val="fi-FI"/>
        </w:rPr>
        <w:t xml:space="preserve">) </w:t>
      </w:r>
      <w:r w:rsidR="00F76834">
        <w:rPr>
          <w:lang w:val="fi-FI"/>
        </w:rPr>
        <w:t xml:space="preserve">sarjapäällikölle viimeistään </w:t>
      </w:r>
      <w:r w:rsidR="00F56521" w:rsidRPr="00F93568">
        <w:rPr>
          <w:lang w:val="fi-FI"/>
        </w:rPr>
        <w:t>kolmen vuorokauden kuluttua pelin päättymisestä</w:t>
      </w:r>
      <w:r w:rsidR="00F76834">
        <w:rPr>
          <w:lang w:val="fi-FI"/>
        </w:rPr>
        <w:t xml:space="preserve">, mutta </w:t>
      </w:r>
      <w:r w:rsidRPr="00F93568">
        <w:rPr>
          <w:lang w:val="fi-FI"/>
        </w:rPr>
        <w:t>SAJL:n kilpailusääntöjen mukaista ottelujärjestelyihin liittyvää valvontaa</w:t>
      </w:r>
      <w:r w:rsidR="00F76834">
        <w:rPr>
          <w:lang w:val="fi-FI"/>
        </w:rPr>
        <w:t xml:space="preserve"> ei tarvitse suorittaa</w:t>
      </w:r>
      <w:r w:rsidRPr="00F93568">
        <w:rPr>
          <w:lang w:val="fi-FI"/>
        </w:rPr>
        <w:t xml:space="preserve">. Mikäli tuomari kuitenkin havaitsee luonteeltaan selkeitä ja tahallisia laiminlyöntejä </w:t>
      </w:r>
      <w:r>
        <w:rPr>
          <w:lang w:val="fi-FI"/>
        </w:rPr>
        <w:t>kummaltakaan joukkueelta esim. p</w:t>
      </w:r>
      <w:r w:rsidRPr="00F93568">
        <w:rPr>
          <w:lang w:val="fi-FI"/>
        </w:rPr>
        <w:t>elaajaturvallisuuden varmistamisen tai näiden sääntöjen noudattamisen osalta, tulee hänen tiedottaa sarjapäällikölle asiasta.</w:t>
      </w:r>
      <w:r>
        <w:rPr>
          <w:lang w:val="fi-FI"/>
        </w:rPr>
        <w:t xml:space="preserve"> Tuomareiden tulee olla SAJL:n kouluttamia virallisia erotuomareita, ja heitä tulee olla vähintään kolme (3).</w:t>
      </w:r>
      <w:r w:rsidR="004F7D41">
        <w:rPr>
          <w:lang w:val="fi-FI"/>
        </w:rPr>
        <w:t xml:space="preserve"> Esteellisyyksiä (esim. perhesuhteiden tai joukkuesuhteiden puolesta) ei tässä sarjassa erotuomarina toimimiselle ole, mutta mahdollisista kyseenalaisista toimista ja erotuomariaseman väärinkäytöistä tulee raportoida sarjapäällikölle.</w:t>
      </w:r>
    </w:p>
    <w:p w:rsidR="00F93568" w:rsidRDefault="00F93568" w:rsidP="00F93568">
      <w:pPr>
        <w:pStyle w:val="Heading2"/>
        <w:rPr>
          <w:rFonts w:asciiTheme="minorHAnsi" w:eastAsiaTheme="minorHAnsi" w:hAnsiTheme="minorHAnsi" w:cstheme="minorBidi"/>
          <w:color w:val="auto"/>
          <w:sz w:val="22"/>
          <w:szCs w:val="22"/>
          <w:lang w:val="fi-FI"/>
        </w:rPr>
      </w:pPr>
    </w:p>
    <w:p w:rsidR="00F93568" w:rsidRDefault="00F93568" w:rsidP="00F93568">
      <w:pPr>
        <w:pStyle w:val="Heading2"/>
        <w:numPr>
          <w:ilvl w:val="1"/>
          <w:numId w:val="2"/>
        </w:numPr>
        <w:rPr>
          <w:b/>
          <w:color w:val="000000" w:themeColor="text1"/>
          <w:lang w:val="fi-FI"/>
        </w:rPr>
      </w:pPr>
      <w:bookmarkStart w:id="8" w:name="_Toc531271556"/>
      <w:r w:rsidRPr="00F93568">
        <w:rPr>
          <w:b/>
          <w:color w:val="000000" w:themeColor="text1"/>
          <w:lang w:val="fi-FI"/>
        </w:rPr>
        <w:t>Pelaajaluettelo ja tilastointi</w:t>
      </w:r>
      <w:bookmarkEnd w:id="8"/>
    </w:p>
    <w:p w:rsidR="00F93568" w:rsidRPr="00F93568" w:rsidRDefault="00F93568" w:rsidP="00F93568">
      <w:pPr>
        <w:rPr>
          <w:lang w:val="fi-FI"/>
        </w:rPr>
      </w:pPr>
      <w:r w:rsidRPr="00F93568">
        <w:rPr>
          <w:lang w:val="fi-FI"/>
        </w:rPr>
        <w:t>Molempien joukkueiden on toimitettava ottelun pelaajaluettelo ennen ottelun alkua vastustajalle ja pää</w:t>
      </w:r>
      <w:r w:rsidR="00E95A79">
        <w:rPr>
          <w:lang w:val="fi-FI"/>
        </w:rPr>
        <w:t>tuomarille (sekä</w:t>
      </w:r>
      <w:r w:rsidRPr="00F93568">
        <w:rPr>
          <w:lang w:val="fi-FI"/>
        </w:rPr>
        <w:t xml:space="preserve"> kuuluttajalle</w:t>
      </w:r>
      <w:r w:rsidR="00E95A79">
        <w:rPr>
          <w:lang w:val="fi-FI"/>
        </w:rPr>
        <w:t>,</w:t>
      </w:r>
      <w:r w:rsidRPr="00F93568">
        <w:rPr>
          <w:lang w:val="fi-FI"/>
        </w:rPr>
        <w:t xml:space="preserve"> jos pelissä tällainen on). Joukkueiden on myös ilmoitettava ottelun pelaajaluettelo sarjapäällikölle viimeistään kolmen vuorokauden kuluttua pelin päättymisestä. Pelaajaluettelon tulee sisältää pelaajien nimet, pelinumerot sekä lisenssinumero (Sportti-ID).</w:t>
      </w:r>
    </w:p>
    <w:p w:rsidR="00F93568" w:rsidRDefault="00F93568" w:rsidP="00F93568">
      <w:pPr>
        <w:rPr>
          <w:lang w:val="fi-FI"/>
        </w:rPr>
      </w:pPr>
      <w:r w:rsidRPr="00F93568">
        <w:rPr>
          <w:lang w:val="fi-FI"/>
        </w:rPr>
        <w:t>Tilastointia ei tarvitse suorittaa, mutta heti ottelun jälkeen sarjapäällikölle tulee ilmoittaa puoliaikatul</w:t>
      </w:r>
      <w:r w:rsidR="00F56521">
        <w:rPr>
          <w:lang w:val="fi-FI"/>
        </w:rPr>
        <w:t xml:space="preserve">os ja </w:t>
      </w:r>
      <w:r w:rsidR="00E95A79">
        <w:rPr>
          <w:lang w:val="fi-FI"/>
        </w:rPr>
        <w:t>lopputulos</w:t>
      </w:r>
      <w:r w:rsidRPr="00F93568">
        <w:rPr>
          <w:lang w:val="fi-FI"/>
        </w:rPr>
        <w:t xml:space="preserve">. Myös mahdollisista ulossuljetuista pelaajista tulee ilmoittaa. </w:t>
      </w:r>
    </w:p>
    <w:p w:rsidR="00E95A79" w:rsidRPr="00F93568" w:rsidRDefault="00E95A79" w:rsidP="00F93568">
      <w:pPr>
        <w:rPr>
          <w:lang w:val="fi-FI"/>
        </w:rPr>
      </w:pPr>
    </w:p>
    <w:p w:rsidR="00F93568" w:rsidRDefault="00F93568" w:rsidP="00E95A79">
      <w:pPr>
        <w:pStyle w:val="Heading2"/>
        <w:numPr>
          <w:ilvl w:val="1"/>
          <w:numId w:val="2"/>
        </w:numPr>
        <w:rPr>
          <w:b/>
          <w:color w:val="000000" w:themeColor="text1"/>
          <w:lang w:val="fi-FI"/>
        </w:rPr>
      </w:pPr>
      <w:bookmarkStart w:id="9" w:name="_Toc531271557"/>
      <w:r w:rsidRPr="00E95A79">
        <w:rPr>
          <w:b/>
          <w:color w:val="000000" w:themeColor="text1"/>
          <w:lang w:val="fi-FI"/>
        </w:rPr>
        <w:t>Kurinpito</w:t>
      </w:r>
      <w:bookmarkEnd w:id="9"/>
    </w:p>
    <w:p w:rsidR="00F93568" w:rsidRDefault="00E95A79" w:rsidP="00F93568">
      <w:pPr>
        <w:rPr>
          <w:lang w:val="fi-FI"/>
        </w:rPr>
      </w:pPr>
      <w:r>
        <w:rPr>
          <w:lang w:val="fi-FI"/>
        </w:rPr>
        <w:t>Ottelussa ulossuljetu</w:t>
      </w:r>
      <w:r w:rsidR="00F93568" w:rsidRPr="00F93568">
        <w:rPr>
          <w:lang w:val="fi-FI"/>
        </w:rPr>
        <w:t>n pelaajan osalta noudatetaan SAJL:n kilpailumääräyksiä. Tuomarit raportoivat ulosajot SAJL:n Kurinpitovaliokunnalle joka päättää tarvittaessa jatkotoimenpiteistä koskien ulosajettua pelaajaa.</w:t>
      </w:r>
    </w:p>
    <w:p w:rsidR="004F7D41" w:rsidRDefault="004F7D41" w:rsidP="00F93568">
      <w:pPr>
        <w:rPr>
          <w:lang w:val="fi-FI"/>
        </w:rPr>
      </w:pPr>
    </w:p>
    <w:p w:rsidR="004F7D41" w:rsidRPr="004F7D41" w:rsidRDefault="004F7D41" w:rsidP="004F7D41">
      <w:pPr>
        <w:pStyle w:val="Heading1"/>
        <w:numPr>
          <w:ilvl w:val="0"/>
          <w:numId w:val="2"/>
        </w:numPr>
        <w:rPr>
          <w:b/>
          <w:color w:val="000000" w:themeColor="text1"/>
          <w:lang w:val="fi-FI"/>
        </w:rPr>
      </w:pPr>
      <w:bookmarkStart w:id="10" w:name="_Toc531271558"/>
      <w:r w:rsidRPr="004F7D41">
        <w:rPr>
          <w:b/>
          <w:color w:val="000000" w:themeColor="text1"/>
          <w:lang w:val="fi-FI"/>
        </w:rPr>
        <w:t>Pelaajan edustuskelpoisuus</w:t>
      </w:r>
      <w:bookmarkEnd w:id="10"/>
      <w:r w:rsidRPr="004F7D41">
        <w:rPr>
          <w:b/>
          <w:color w:val="000000" w:themeColor="text1"/>
          <w:lang w:val="fi-FI"/>
        </w:rPr>
        <w:t xml:space="preserve"> </w:t>
      </w:r>
    </w:p>
    <w:p w:rsidR="004F7D41" w:rsidRPr="004F7D41" w:rsidRDefault="004F7D41" w:rsidP="004F7D41">
      <w:pPr>
        <w:rPr>
          <w:lang w:val="fi-FI"/>
        </w:rPr>
      </w:pPr>
      <w:r w:rsidRPr="004F7D41">
        <w:rPr>
          <w:lang w:val="fi-FI"/>
        </w:rPr>
        <w:t xml:space="preserve">Jokaisella pelaajalla tulee olla asianmukainen pelaamiseen oikeuttava lisenssi. Katso tarkemmin kohdasta 7. </w:t>
      </w:r>
    </w:p>
    <w:p w:rsidR="004F7D41" w:rsidRPr="004F7D41" w:rsidRDefault="004F7D41" w:rsidP="004F7D41">
      <w:pPr>
        <w:rPr>
          <w:lang w:val="fi-FI"/>
        </w:rPr>
      </w:pPr>
      <w:r w:rsidRPr="004F7D41">
        <w:rPr>
          <w:lang w:val="fi-FI"/>
        </w:rPr>
        <w:t>Korkeakoulupelaajan tulee olla kirjoilla läsnäolevana opiskelijana edustamassaan korkeakoulussa</w:t>
      </w:r>
      <w:r>
        <w:rPr>
          <w:lang w:val="fi-FI"/>
        </w:rPr>
        <w:t xml:space="preserve"> </w:t>
      </w:r>
      <w:r w:rsidRPr="004F7D41">
        <w:rPr>
          <w:lang w:val="fi-FI"/>
        </w:rPr>
        <w:t xml:space="preserve">(tai saman paikkakunnan </w:t>
      </w:r>
      <w:r>
        <w:rPr>
          <w:lang w:val="fi-FI"/>
        </w:rPr>
        <w:t>korkeakoulussa, jos kyseessä on yhteisjoukkue</w:t>
      </w:r>
      <w:r w:rsidRPr="004F7D41">
        <w:rPr>
          <w:lang w:val="fi-FI"/>
        </w:rPr>
        <w:t>) tai valmistunut koulusta edellisen lukuvuoden aikana. Korkeakoulujefukomitea voi painavasta syystä johtuen myöntää pelaajalle luvan pelata saman paikkakunnan eri joukkueessa, kuin jossa hän on läsnäolevana opiskelijana, mikäli se molemmille joukkueille sopii.</w:t>
      </w:r>
    </w:p>
    <w:p w:rsidR="004F7D41" w:rsidRPr="004F7D41" w:rsidRDefault="004F7D41" w:rsidP="004F7D41">
      <w:pPr>
        <w:rPr>
          <w:lang w:val="fi-FI"/>
        </w:rPr>
      </w:pPr>
      <w:r w:rsidRPr="004F7D41">
        <w:rPr>
          <w:lang w:val="fi-FI"/>
        </w:rPr>
        <w:t>Avoimessa yliopistossa, avoimessa ammattikorkeakoulussa tai toisen asteen oppilaitoksessa opiskeleva henkilö ei ole edustuskelpoinen pelaaja. Ei-suomalaisen kansallisuuden omaava vaihto-oppilas on edustuskelpoinen</w:t>
      </w:r>
      <w:r>
        <w:rPr>
          <w:lang w:val="fi-FI"/>
        </w:rPr>
        <w:t>,</w:t>
      </w:r>
      <w:r w:rsidRPr="004F7D41">
        <w:rPr>
          <w:lang w:val="fi-FI"/>
        </w:rPr>
        <w:t xml:space="preserve"> mikäli hän on korkeakoulunsa kirjoilla läsnäolevana opiskelijana.</w:t>
      </w:r>
    </w:p>
    <w:p w:rsidR="004F7D41" w:rsidRPr="004F7D41" w:rsidRDefault="004F7D41" w:rsidP="004F7D41">
      <w:pPr>
        <w:rPr>
          <w:lang w:val="fi-FI"/>
        </w:rPr>
      </w:pPr>
      <w:r w:rsidRPr="004F7D41">
        <w:rPr>
          <w:lang w:val="fi-FI"/>
        </w:rPr>
        <w:lastRenderedPageBreak/>
        <w:t>Korkeakoulusarjoissa pelaaja voi siirtyä sarjassa pelaavaan joukkueeseen määräajaksi koko korkeakoulusarjan ajaksi ilman kirjaamismaksua. Sarjan päätyttyä pelaajan edustusoikeus palautuu välittömästi siihen seuraan, jossa pelaajanedustusoikeus oli ennen määräaikaista siirtoa korkeakoulusarjaan osallistuvaan joukkueeseen.</w:t>
      </w:r>
      <w:r>
        <w:rPr>
          <w:lang w:val="fi-FI"/>
        </w:rPr>
        <w:t xml:space="preserve"> Siirtolomakkeita ei tarvitse täyttää.</w:t>
      </w:r>
    </w:p>
    <w:p w:rsidR="004F7D41" w:rsidRPr="004F7D41" w:rsidRDefault="004F7D41" w:rsidP="004F7D41">
      <w:pPr>
        <w:rPr>
          <w:lang w:val="fi-FI"/>
        </w:rPr>
      </w:pPr>
      <w:r w:rsidRPr="004F7D41">
        <w:rPr>
          <w:lang w:val="fi-FI"/>
        </w:rPr>
        <w:t>Muutoin edustuskelpoinen pelaaja on lopputurnauksen osalta edustuskelpoinen vain</w:t>
      </w:r>
      <w:r>
        <w:rPr>
          <w:lang w:val="fi-FI"/>
        </w:rPr>
        <w:t>,</w:t>
      </w:r>
      <w:r w:rsidRPr="004F7D41">
        <w:rPr>
          <w:lang w:val="fi-FI"/>
        </w:rPr>
        <w:t xml:space="preserve"> jos hänet on nimetty vähintään yhteen runkosarjan pelipäivän pelaajaluetteloon ja hän on tällaiseen otteluun osallistunut. Erityistapauksissa (esim. oppilasvaihto, pitkittynyt loukkaantuminen) päätöksen edustuskelpois</w:t>
      </w:r>
      <w:r>
        <w:rPr>
          <w:lang w:val="fi-FI"/>
        </w:rPr>
        <w:t>uudesta lopputurnaukseen tekee korkeakoulujefukomitea.</w:t>
      </w:r>
    </w:p>
    <w:p w:rsidR="004F7D41" w:rsidRDefault="004F7D41" w:rsidP="004F7D41">
      <w:pPr>
        <w:rPr>
          <w:lang w:val="fi-FI"/>
        </w:rPr>
      </w:pPr>
      <w:r w:rsidRPr="004F7D41">
        <w:rPr>
          <w:lang w:val="fi-FI"/>
        </w:rPr>
        <w:t xml:space="preserve">Valitus edustuskelvottomasta pelaajasta tulee toimittaa korkeakoulujenkkifutiskomitealle sekä sarjapäällikölle viimeistään viikon kuluttua ottelusta. Edustuskelvottoman pelaajan peluuttamisesta koituvat seuraukset määräytyvät asiassa sarjapäällikön päätöksen mukaan. </w:t>
      </w:r>
    </w:p>
    <w:p w:rsidR="004F7D41" w:rsidRPr="004F7D41" w:rsidRDefault="004F7D41" w:rsidP="004F7D41">
      <w:pPr>
        <w:pStyle w:val="Heading1"/>
        <w:numPr>
          <w:ilvl w:val="0"/>
          <w:numId w:val="2"/>
        </w:numPr>
        <w:rPr>
          <w:b/>
          <w:color w:val="000000" w:themeColor="text1"/>
          <w:lang w:val="fi-FI"/>
        </w:rPr>
      </w:pPr>
      <w:bookmarkStart w:id="11" w:name="_Toc531271559"/>
      <w:r w:rsidRPr="004F7D41">
        <w:rPr>
          <w:b/>
          <w:color w:val="000000" w:themeColor="text1"/>
          <w:lang w:val="fi-FI"/>
        </w:rPr>
        <w:t>Lisenssit ja vakuutukset</w:t>
      </w:r>
      <w:bookmarkEnd w:id="11"/>
      <w:r w:rsidRPr="004F7D41">
        <w:rPr>
          <w:b/>
          <w:color w:val="000000" w:themeColor="text1"/>
          <w:lang w:val="fi-FI"/>
        </w:rPr>
        <w:t xml:space="preserve"> </w:t>
      </w:r>
    </w:p>
    <w:p w:rsidR="004F7D41" w:rsidRPr="004F7D41" w:rsidRDefault="004F7D41" w:rsidP="004F7D41">
      <w:pPr>
        <w:rPr>
          <w:lang w:val="fi-FI"/>
        </w:rPr>
      </w:pPr>
      <w:r w:rsidRPr="004F7D41">
        <w:rPr>
          <w:lang w:val="fi-FI"/>
        </w:rPr>
        <w:t xml:space="preserve">Korkeakoulupelaajien on hankittava Suomen amerikkalaisen jalkapallon liiton O-lisenssi. Lisenssi hankitaan osoitteesta: </w:t>
      </w:r>
    </w:p>
    <w:p w:rsidR="004F7D41" w:rsidRPr="004F7D41" w:rsidRDefault="004F7D41" w:rsidP="004F7D41">
      <w:pPr>
        <w:rPr>
          <w:lang w:val="fi-FI"/>
        </w:rPr>
      </w:pPr>
      <w:r w:rsidRPr="004F7D41">
        <w:rPr>
          <w:lang w:val="fi-FI"/>
        </w:rPr>
        <w:t xml:space="preserve">www.sajl.fi/seurapalvelut/osta_lisenssi/ </w:t>
      </w:r>
    </w:p>
    <w:p w:rsidR="004F7D41" w:rsidRPr="004F7D41" w:rsidRDefault="004F7D41" w:rsidP="004F7D41">
      <w:pPr>
        <w:rPr>
          <w:lang w:val="fi-FI"/>
        </w:rPr>
      </w:pPr>
      <w:r w:rsidRPr="004F7D41">
        <w:rPr>
          <w:lang w:val="fi-FI"/>
        </w:rPr>
        <w:t>Myös ylemmän tason lisenssin lunastaminen oikeuttaa pelaamaan korkeakoulusarjassa. O-lisenssi on myös mahdollista päivittää myöhemmin ylemmän tason lisenssiksi.</w:t>
      </w:r>
    </w:p>
    <w:p w:rsidR="004F7D41" w:rsidRPr="004F7D41" w:rsidRDefault="004F7D41" w:rsidP="004F7D41">
      <w:pPr>
        <w:rPr>
          <w:lang w:val="fi-FI"/>
        </w:rPr>
      </w:pPr>
      <w:r w:rsidRPr="004F7D41">
        <w:rPr>
          <w:lang w:val="fi-FI"/>
        </w:rPr>
        <w:t xml:space="preserve">Lisenssin lisäksi pelaajilla on oltava amerikkalaisen jalkapallon kattava vakuutus tai lunastettava SAJL:n yhteistyökumppanin tarjoama vakuutus lisenssinoston yhteydessä. Vakuutusnumero ilmoitetaan lajiliittoon lisenssin lunastuksen yhteydessä. </w:t>
      </w:r>
    </w:p>
    <w:p w:rsidR="004F7D41" w:rsidRPr="004F7D41" w:rsidRDefault="004F7D41" w:rsidP="004F7D41">
      <w:pPr>
        <w:rPr>
          <w:lang w:val="fi-FI"/>
        </w:rPr>
      </w:pPr>
      <w:r w:rsidRPr="004F7D41">
        <w:rPr>
          <w:lang w:val="fi-FI"/>
        </w:rPr>
        <w:t>Sarjapäällikkö valvoo, että pelaajaluetteloihin merkityillä pelaajilla on asianmukainen lisenssi.</w:t>
      </w:r>
    </w:p>
    <w:p w:rsidR="004F7D41" w:rsidRDefault="004F7D41" w:rsidP="004F7D41">
      <w:pPr>
        <w:rPr>
          <w:lang w:val="fi-FI"/>
        </w:rPr>
      </w:pPr>
      <w:r w:rsidRPr="004F7D41">
        <w:rPr>
          <w:lang w:val="fi-FI"/>
        </w:rPr>
        <w:t>Joukkueen ei-pelaavilta sivurajahenkilöiltä (valmentajat, huoltajat, kuvaaja jne.) ei vaadita erillistä lisenssiä</w:t>
      </w:r>
      <w:r>
        <w:rPr>
          <w:lang w:val="fi-FI"/>
        </w:rPr>
        <w:t>, ja he ovat otteluissa omalla vastuullaan</w:t>
      </w:r>
      <w:r w:rsidRPr="004F7D41">
        <w:rPr>
          <w:lang w:val="fi-FI"/>
        </w:rPr>
        <w:t xml:space="preserve">. </w:t>
      </w:r>
      <w:r w:rsidR="00F56521">
        <w:rPr>
          <w:lang w:val="fi-FI"/>
        </w:rPr>
        <w:t xml:space="preserve">Nämä henkilöt on myös ilmoitettava pelaajaluettelossa. </w:t>
      </w:r>
      <w:r>
        <w:rPr>
          <w:lang w:val="fi-FI"/>
        </w:rPr>
        <w:t>Jos valmentaja, huoltaja tai muu vastaava lisenssitön joukkueen henkilö syyllistyy toistuvaan epäurheilijamaiseen käytökseen, ja hänet poistetaan ottelusta, voidaan häneen kuitenkin kohdistaa kurinpidollisia toimia.</w:t>
      </w:r>
    </w:p>
    <w:p w:rsidR="004F7D41" w:rsidRPr="004F7D41" w:rsidRDefault="004F7D41" w:rsidP="004F7D41">
      <w:pPr>
        <w:pStyle w:val="Heading1"/>
        <w:numPr>
          <w:ilvl w:val="0"/>
          <w:numId w:val="2"/>
        </w:numPr>
        <w:rPr>
          <w:b/>
          <w:color w:val="000000" w:themeColor="text1"/>
          <w:lang w:val="fi-FI"/>
        </w:rPr>
      </w:pPr>
      <w:bookmarkStart w:id="12" w:name="_Toc531271560"/>
      <w:r w:rsidRPr="004F7D41">
        <w:rPr>
          <w:b/>
          <w:color w:val="000000" w:themeColor="text1"/>
          <w:lang w:val="fi-FI"/>
        </w:rPr>
        <w:t>Urheilullinen käyttäytyminen</w:t>
      </w:r>
      <w:bookmarkEnd w:id="12"/>
      <w:r w:rsidRPr="004F7D41">
        <w:rPr>
          <w:b/>
          <w:color w:val="000000" w:themeColor="text1"/>
          <w:lang w:val="fi-FI"/>
        </w:rPr>
        <w:t xml:space="preserve"> </w:t>
      </w:r>
    </w:p>
    <w:p w:rsidR="004F7D41" w:rsidRPr="004F7D41" w:rsidRDefault="004F7D41" w:rsidP="004F7D41">
      <w:pPr>
        <w:rPr>
          <w:lang w:val="fi-FI"/>
        </w:rPr>
      </w:pPr>
      <w:r w:rsidRPr="004F7D41">
        <w:rPr>
          <w:lang w:val="fi-FI"/>
        </w:rPr>
        <w:t>Joukkueet ovat velvollisia pitämään huolta valmentajien, pelaajien ja muiden joukkueeseen kuuluvien käytöksestä. Joukkueiden henkilöiden on noudatettava urheilun etiikkaa ja hyviä käytöstapoja sekä tuettava hyvää opiskelijaurheiluhenkeä joukkueiden sisällä sekä joukkueiden välillä. Mahdolliset erimielisyydet pelin aikana esi</w:t>
      </w:r>
      <w:r>
        <w:rPr>
          <w:lang w:val="fi-FI"/>
        </w:rPr>
        <w:t>m. t</w:t>
      </w:r>
      <w:r w:rsidRPr="004F7D41">
        <w:rPr>
          <w:lang w:val="fi-FI"/>
        </w:rPr>
        <w:t>ämän sarjakirjan määräyksien tulkinnasta tulee pyrkiä selvittämään ensisijaisesti keskustelemalla niin, ettei pelin kulku olennaisesti häiriinny.</w:t>
      </w:r>
    </w:p>
    <w:p w:rsidR="004F7D41" w:rsidRPr="004F7D41" w:rsidRDefault="004F7D41" w:rsidP="004F7D41">
      <w:pPr>
        <w:rPr>
          <w:lang w:val="fi-FI"/>
        </w:rPr>
      </w:pPr>
      <w:r w:rsidRPr="004F7D41">
        <w:rPr>
          <w:lang w:val="fi-FI"/>
        </w:rPr>
        <w:t>Kentällä puheoikeus erotuomareille on vain valmentajilla ja kapteeneilla</w:t>
      </w:r>
      <w:r>
        <w:rPr>
          <w:lang w:val="fi-FI"/>
        </w:rPr>
        <w:t>, ja heistä yhdellä kerrallaan</w:t>
      </w:r>
      <w:r w:rsidRPr="004F7D41">
        <w:rPr>
          <w:lang w:val="fi-FI"/>
        </w:rPr>
        <w:t>. Erotuomarien toiminnasta voi keskustella vain päävalmentaja päätuomarin kanssa. Aiheeton keskustelu ja kommentointi tuomitaan sivurajahäirintänä.</w:t>
      </w:r>
    </w:p>
    <w:p w:rsidR="003A6325" w:rsidRDefault="004F7D41" w:rsidP="004F7D41">
      <w:pPr>
        <w:rPr>
          <w:lang w:val="fi-FI"/>
        </w:rPr>
      </w:pPr>
      <w:r w:rsidRPr="004F7D41">
        <w:rPr>
          <w:lang w:val="fi-FI"/>
        </w:rPr>
        <w:t>Valmentajien on tiedotettava pelaajille dopingin vaaroista. Jaettavaa materiaalia voi tiedustella Suomen Antidoping-toimikunnalta. Vuoden 2018 osalta luettelot kielletyistä ja sallituista lääkkeistä ja menetelmistä löytyvät internetistä: www.antidoping.fi .</w:t>
      </w:r>
      <w:r w:rsidR="003A6325">
        <w:rPr>
          <w:lang w:val="fi-FI"/>
        </w:rPr>
        <w:t xml:space="preserve"> Jokaisen pelaajan tulee täyttää antidoping-sitoumus.</w:t>
      </w:r>
      <w:r w:rsidRPr="004F7D41">
        <w:rPr>
          <w:lang w:val="fi-FI"/>
        </w:rPr>
        <w:t xml:space="preserve"> </w:t>
      </w:r>
    </w:p>
    <w:p w:rsidR="003A6325" w:rsidRPr="003A6325" w:rsidRDefault="003A6325" w:rsidP="003A6325">
      <w:pPr>
        <w:pStyle w:val="Heading1"/>
        <w:numPr>
          <w:ilvl w:val="0"/>
          <w:numId w:val="2"/>
        </w:numPr>
        <w:rPr>
          <w:b/>
          <w:color w:val="000000" w:themeColor="text1"/>
          <w:lang w:val="fi-FI"/>
        </w:rPr>
      </w:pPr>
      <w:bookmarkStart w:id="13" w:name="_Toc531271561"/>
      <w:r w:rsidRPr="003A6325">
        <w:rPr>
          <w:b/>
          <w:color w:val="000000" w:themeColor="text1"/>
          <w:lang w:val="fi-FI"/>
        </w:rPr>
        <w:lastRenderedPageBreak/>
        <w:t>Tied</w:t>
      </w:r>
      <w:r w:rsidR="004F7D41" w:rsidRPr="003A6325">
        <w:rPr>
          <w:b/>
          <w:color w:val="000000" w:themeColor="text1"/>
          <w:lang w:val="fi-FI"/>
        </w:rPr>
        <w:t>otus</w:t>
      </w:r>
      <w:bookmarkEnd w:id="13"/>
      <w:r w:rsidR="004F7D41" w:rsidRPr="003A6325">
        <w:rPr>
          <w:b/>
          <w:color w:val="000000" w:themeColor="text1"/>
          <w:lang w:val="fi-FI"/>
        </w:rPr>
        <w:t xml:space="preserve"> </w:t>
      </w:r>
    </w:p>
    <w:p w:rsidR="004F7D41" w:rsidRPr="003A6325" w:rsidRDefault="004F7D41" w:rsidP="003A6325">
      <w:pPr>
        <w:rPr>
          <w:lang w:val="fi-FI"/>
        </w:rPr>
      </w:pPr>
      <w:r w:rsidRPr="003A6325">
        <w:rPr>
          <w:lang w:val="fi-FI"/>
        </w:rPr>
        <w:t>Joukkueiden on toimitettava otteluiden pelaajaluettelot sarjapäällikölle kolmen päivän kuluessa ottelun päättymisestä.</w:t>
      </w:r>
    </w:p>
    <w:p w:rsidR="004F7D41" w:rsidRPr="004F7D41" w:rsidRDefault="004F7D41" w:rsidP="004F7D41">
      <w:pPr>
        <w:rPr>
          <w:lang w:val="fi-FI"/>
        </w:rPr>
      </w:pPr>
      <w:r w:rsidRPr="004F7D41">
        <w:rPr>
          <w:lang w:val="fi-FI"/>
        </w:rPr>
        <w:t>Pelaajaluetteloiden ja ottelutapahtumien ajankohtien lisäksi joukkueet ovat velvoitettuja ilmoittamaan kohdan 5 vaatimat ottelutulokset. Tiedottamisen voi tehdä</w:t>
      </w:r>
      <w:r w:rsidR="003A6325">
        <w:rPr>
          <w:lang w:val="fi-FI"/>
        </w:rPr>
        <w:t xml:space="preserve"> whatsappilla,</w:t>
      </w:r>
      <w:r w:rsidRPr="004F7D41">
        <w:rPr>
          <w:lang w:val="fi-FI"/>
        </w:rPr>
        <w:t xml:space="preserve"> tekstiviestillä, sähköpostilla tai muun ennalta sovitun sähköisen jakelukanavan kautta. </w:t>
      </w:r>
    </w:p>
    <w:p w:rsidR="004F7D41" w:rsidRPr="004F7D41" w:rsidRDefault="004F7D41" w:rsidP="004F7D41">
      <w:pPr>
        <w:rPr>
          <w:lang w:val="fi-FI"/>
        </w:rPr>
      </w:pPr>
      <w:r w:rsidRPr="004F7D41">
        <w:rPr>
          <w:lang w:val="fi-FI"/>
        </w:rPr>
        <w:t>Välittömästi ottelun jälkeen sarjapäällikölle on ilmoitettava ottelun loppu- ja puoliaikatulokset</w:t>
      </w:r>
      <w:r w:rsidR="00F56521">
        <w:rPr>
          <w:lang w:val="fi-FI"/>
        </w:rPr>
        <w:t>.</w:t>
      </w:r>
    </w:p>
    <w:p w:rsidR="003A6325" w:rsidRDefault="004F7D41" w:rsidP="004F7D41">
      <w:pPr>
        <w:rPr>
          <w:lang w:val="fi-FI"/>
        </w:rPr>
      </w:pPr>
      <w:r w:rsidRPr="004F7D41">
        <w:rPr>
          <w:lang w:val="fi-FI"/>
        </w:rPr>
        <w:t xml:space="preserve">Mikäli joukkue huomautuksista huolimatta rikkoo toistuvasti tiedottamisvastuutaan, voidaan joukkueelle langettaa rangaistuksena yhden sarjapisteen menetys. Tällaisesta rangaistuksesta päättää sarjapäällikkö. </w:t>
      </w:r>
    </w:p>
    <w:p w:rsidR="003A6325" w:rsidRPr="003A6325" w:rsidRDefault="004F7D41" w:rsidP="003A6325">
      <w:pPr>
        <w:pStyle w:val="Heading1"/>
        <w:numPr>
          <w:ilvl w:val="0"/>
          <w:numId w:val="2"/>
        </w:numPr>
        <w:rPr>
          <w:b/>
          <w:color w:val="000000" w:themeColor="text1"/>
          <w:lang w:val="fi-FI"/>
        </w:rPr>
      </w:pPr>
      <w:bookmarkStart w:id="14" w:name="_Toc531271562"/>
      <w:r w:rsidRPr="003A6325">
        <w:rPr>
          <w:b/>
          <w:color w:val="000000" w:themeColor="text1"/>
          <w:lang w:val="fi-FI"/>
        </w:rPr>
        <w:t>Sarjasta luopuminen sekä ottelun luovuttaminen ennen sen alkamista</w:t>
      </w:r>
      <w:bookmarkEnd w:id="14"/>
      <w:r w:rsidRPr="003A6325">
        <w:rPr>
          <w:b/>
          <w:color w:val="000000" w:themeColor="text1"/>
          <w:lang w:val="fi-FI"/>
        </w:rPr>
        <w:t xml:space="preserve"> </w:t>
      </w:r>
    </w:p>
    <w:p w:rsidR="004F7D41" w:rsidRPr="003A6325" w:rsidRDefault="004F7D41" w:rsidP="003A6325">
      <w:pPr>
        <w:rPr>
          <w:lang w:val="fi-FI"/>
        </w:rPr>
      </w:pPr>
      <w:r w:rsidRPr="003A6325">
        <w:rPr>
          <w:lang w:val="fi-FI"/>
        </w:rPr>
        <w:t>Sarjasta luopumisesta on välittömästi ilmoitettava kirjallisesti sarjapäällikölle. Luovuttaneen joukkueen kaikki sarjassa jo pelatut pelit mitätöidään. Korkeakoulujefukomitea käsittelee luovutuksen, jonka jälkeen sarjapäällikkö päättää mahdollisista seuraamuksista sarjasta luopuneelle seuralle.</w:t>
      </w:r>
    </w:p>
    <w:p w:rsidR="003A6325" w:rsidRDefault="004F7D41" w:rsidP="004F7D41">
      <w:pPr>
        <w:rPr>
          <w:lang w:val="fi-FI"/>
        </w:rPr>
      </w:pPr>
      <w:r w:rsidRPr="004F7D41">
        <w:rPr>
          <w:lang w:val="fi-FI"/>
        </w:rPr>
        <w:t xml:space="preserve">Ottelun luovuttamisena pidetään ottelun aloittamatta jättämistä tai sen keskeyttämistä. Tämä käsitellään myös sarjasta luopumisena. </w:t>
      </w:r>
    </w:p>
    <w:p w:rsidR="004F7D41" w:rsidRPr="003A6325" w:rsidRDefault="004F7D41" w:rsidP="003A6325">
      <w:pPr>
        <w:pStyle w:val="Heading1"/>
        <w:rPr>
          <w:b/>
          <w:color w:val="000000" w:themeColor="text1"/>
          <w:lang w:val="fi-FI"/>
        </w:rPr>
      </w:pPr>
      <w:bookmarkStart w:id="15" w:name="_Toc531271563"/>
      <w:r w:rsidRPr="003A6325">
        <w:rPr>
          <w:b/>
          <w:color w:val="000000" w:themeColor="text1"/>
          <w:lang w:val="fi-FI"/>
        </w:rPr>
        <w:t>11. Korkeakoulujefukomitea ja sarjapäällikkö</w:t>
      </w:r>
      <w:bookmarkEnd w:id="15"/>
    </w:p>
    <w:p w:rsidR="004F7D41" w:rsidRPr="004F7D41" w:rsidRDefault="004F7D41" w:rsidP="004F7D41">
      <w:pPr>
        <w:rPr>
          <w:lang w:val="fi-FI"/>
        </w:rPr>
      </w:pPr>
      <w:r w:rsidRPr="004F7D41">
        <w:rPr>
          <w:lang w:val="fi-FI"/>
        </w:rPr>
        <w:t>Korkeakoulujefukomitea (jatkossa "komitea") on epävirallinen elin, joka koostuu varsinaiselta jäsenistöltään sarjassa jokaisesta kuluvalla kaudella pelaavasta joukkueesta nimetystä edustajasta sekä sarjapäälliköstä. Seura voi nimetä tarvittaessa myös varaedustajan, jos varsinainen jäsen on estynyt osallistumasta päätöksentekoon. Komitea voi käyttää myös tarvittaessa ulkopuolisia toimijoita tavoitteidensa täyttämiseksi.</w:t>
      </w:r>
    </w:p>
    <w:p w:rsidR="004F7D41" w:rsidRPr="004F7D41" w:rsidRDefault="004F7D41" w:rsidP="004F7D41">
      <w:pPr>
        <w:rPr>
          <w:lang w:val="fi-FI"/>
        </w:rPr>
      </w:pPr>
      <w:r w:rsidRPr="004F7D41">
        <w:rPr>
          <w:lang w:val="fi-FI"/>
        </w:rPr>
        <w:t>Komitean pääasiallinen tehtävä on vastata korkeakoulusarjan yleisestä toiminnasta SAJL:n asettamien raamien sisällä sekä toimia päättävänä ja toimeenpanevana elimenä sarjaan liittyvien asioiden suhteen. Komitean päätökset sitovat korkeakoulus</w:t>
      </w:r>
      <w:r w:rsidR="003A6325">
        <w:rPr>
          <w:lang w:val="fi-FI"/>
        </w:rPr>
        <w:t>arjaan osallistuvia joukkueita.</w:t>
      </w:r>
    </w:p>
    <w:p w:rsidR="004F7D41" w:rsidRPr="004F7D41" w:rsidRDefault="004F7D41" w:rsidP="004F7D41">
      <w:pPr>
        <w:rPr>
          <w:lang w:val="fi-FI"/>
        </w:rPr>
      </w:pPr>
      <w:r w:rsidRPr="004F7D41">
        <w:rPr>
          <w:lang w:val="fi-FI"/>
        </w:rPr>
        <w:t>Komitean vastuuseen kuuluu mm. Korkeakoulusarjan sääntöjen tarkistaminen ja sääntöehdotusten laatiminen, sarjajärjestelmän vuosittainen määrittäminen sekä lopputurnauksen järjestelyistä päättäminen. Komitea toimii näissä tavoitteissaan yhteistyössä SAJL:n sekä muiden siihen liittyvien instanssien kanssa.</w:t>
      </w:r>
    </w:p>
    <w:p w:rsidR="004F7D41" w:rsidRPr="004F7D41" w:rsidRDefault="004F7D41" w:rsidP="004F7D41">
      <w:pPr>
        <w:rPr>
          <w:lang w:val="fi-FI"/>
        </w:rPr>
      </w:pPr>
      <w:r w:rsidRPr="004F7D41">
        <w:rPr>
          <w:lang w:val="fi-FI"/>
        </w:rPr>
        <w:t>Komitean pääasiallisena toimintakanavana toimivat erilaiset sähköiset alustat (Facebook, sähköposti, Skype). Tarvittaessa komitea kokoontuu sähköisesti</w:t>
      </w:r>
      <w:r w:rsidR="003A6325">
        <w:rPr>
          <w:lang w:val="fi-FI"/>
        </w:rPr>
        <w:t>,</w:t>
      </w:r>
      <w:r w:rsidRPr="004F7D41">
        <w:rPr>
          <w:lang w:val="fi-FI"/>
        </w:rPr>
        <w:t xml:space="preserve"> mikäli päätöksenteko niin vaatii. Komitean päätöksenteossa äänioikeus on komitean varsinaisella jäsenistöllä.</w:t>
      </w:r>
    </w:p>
    <w:p w:rsidR="004F7D41" w:rsidRPr="004F7D41" w:rsidRDefault="004F7D41" w:rsidP="004F7D41">
      <w:pPr>
        <w:rPr>
          <w:lang w:val="fi-FI"/>
        </w:rPr>
      </w:pPr>
      <w:r w:rsidRPr="004F7D41">
        <w:rPr>
          <w:lang w:val="fi-FI"/>
        </w:rPr>
        <w:t>Komitea tai sarjapäällikkö päättävät viime kädessä sarjaa koskevista erimielisyyksistä joukkueiden välillä</w:t>
      </w:r>
      <w:r w:rsidR="003A6325">
        <w:rPr>
          <w:lang w:val="fi-FI"/>
        </w:rPr>
        <w:t>,</w:t>
      </w:r>
      <w:r w:rsidRPr="004F7D41">
        <w:rPr>
          <w:lang w:val="fi-FI"/>
        </w:rPr>
        <w:t xml:space="preserve"> mikäli SAJL:n normisto ei tarjoa asiaan sopivaa ratkaisua. Mikäli komitean jäsenet eivät keskenään pääse ratkaisuun tällaisessa asiassa, viime kädessä sarjapäällikön päätös ratkaisee.</w:t>
      </w:r>
    </w:p>
    <w:p w:rsidR="004F7D41" w:rsidRPr="004F7D41" w:rsidRDefault="004F7D41" w:rsidP="004F7D41">
      <w:pPr>
        <w:rPr>
          <w:lang w:val="fi-FI"/>
        </w:rPr>
      </w:pPr>
      <w:r w:rsidRPr="004F7D41">
        <w:rPr>
          <w:lang w:val="fi-FI"/>
        </w:rPr>
        <w:lastRenderedPageBreak/>
        <w:t>Komitean jäsenellä on velvollisuus tiedottaa joukkuettaan sekä tarvittaessa sen sidosryhmiä komitean päätöksistä sekä sarjapäällikön tiedoksiannoista sekä toimia yleisesti yhteyshenkilönä juoksevissa asioissa edustamansa seuran ja sarjapäällikön välillä.</w:t>
      </w:r>
    </w:p>
    <w:p w:rsidR="004F7D41" w:rsidRPr="00D5174A" w:rsidRDefault="004F7D41" w:rsidP="004F7D41">
      <w:pPr>
        <w:rPr>
          <w:lang w:val="fi-FI"/>
        </w:rPr>
      </w:pPr>
      <w:r w:rsidRPr="004F7D41">
        <w:rPr>
          <w:lang w:val="fi-FI"/>
        </w:rPr>
        <w:t>Komitean ja sarjapäällikön päätöksistä voi valittaa S</w:t>
      </w:r>
      <w:r w:rsidR="003A6325">
        <w:rPr>
          <w:lang w:val="fi-FI"/>
        </w:rPr>
        <w:t>AJL:n liittohallitukselle. Tällö</w:t>
      </w:r>
      <w:r w:rsidRPr="004F7D41">
        <w:rPr>
          <w:lang w:val="fi-FI"/>
        </w:rPr>
        <w:t>in liittohallituksen päätös asiassa sitoo komiteaa ja sarjapäällikköä.</w:t>
      </w:r>
    </w:p>
    <w:sectPr w:rsidR="004F7D41" w:rsidRPr="00D5174A" w:rsidSect="003A6325">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C6FBB"/>
    <w:multiLevelType w:val="multilevel"/>
    <w:tmpl w:val="D5326E7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E112C5F"/>
    <w:multiLevelType w:val="hybridMultilevel"/>
    <w:tmpl w:val="4F12E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A"/>
    <w:rsid w:val="000F654D"/>
    <w:rsid w:val="003A6325"/>
    <w:rsid w:val="004F7D41"/>
    <w:rsid w:val="006609F8"/>
    <w:rsid w:val="006E4628"/>
    <w:rsid w:val="00A41DC5"/>
    <w:rsid w:val="00D5174A"/>
    <w:rsid w:val="00E0217F"/>
    <w:rsid w:val="00E95A79"/>
    <w:rsid w:val="00F56521"/>
    <w:rsid w:val="00F76834"/>
    <w:rsid w:val="00F935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493DC-8C30-4018-BE77-FDCBF9EE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D517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17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74A"/>
    <w:pPr>
      <w:ind w:left="720"/>
      <w:contextualSpacing/>
    </w:pPr>
  </w:style>
  <w:style w:type="character" w:customStyle="1" w:styleId="Heading1Char">
    <w:name w:val="Heading 1 Char"/>
    <w:basedOn w:val="DefaultParagraphFont"/>
    <w:link w:val="Heading1"/>
    <w:uiPriority w:val="9"/>
    <w:rsid w:val="00D5174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D5174A"/>
    <w:rPr>
      <w:rFonts w:asciiTheme="majorHAnsi" w:eastAsiaTheme="majorEastAsia" w:hAnsiTheme="majorHAnsi" w:cstheme="majorBidi"/>
      <w:color w:val="2F5496" w:themeColor="accent1" w:themeShade="BF"/>
      <w:sz w:val="26"/>
      <w:szCs w:val="26"/>
      <w:lang w:val="en-US"/>
    </w:rPr>
  </w:style>
  <w:style w:type="paragraph" w:styleId="TOCHeading">
    <w:name w:val="TOC Heading"/>
    <w:basedOn w:val="Heading1"/>
    <w:next w:val="Normal"/>
    <w:uiPriority w:val="39"/>
    <w:unhideWhenUsed/>
    <w:qFormat/>
    <w:rsid w:val="003A6325"/>
    <w:pPr>
      <w:outlineLvl w:val="9"/>
    </w:pPr>
    <w:rPr>
      <w:lang w:val="en-AU" w:eastAsia="en-AU"/>
    </w:rPr>
  </w:style>
  <w:style w:type="paragraph" w:styleId="TOC1">
    <w:name w:val="toc 1"/>
    <w:basedOn w:val="Normal"/>
    <w:next w:val="Normal"/>
    <w:autoRedefine/>
    <w:uiPriority w:val="39"/>
    <w:unhideWhenUsed/>
    <w:rsid w:val="003A6325"/>
    <w:pPr>
      <w:spacing w:after="100"/>
    </w:pPr>
  </w:style>
  <w:style w:type="paragraph" w:styleId="TOC2">
    <w:name w:val="toc 2"/>
    <w:basedOn w:val="Normal"/>
    <w:next w:val="Normal"/>
    <w:autoRedefine/>
    <w:uiPriority w:val="39"/>
    <w:unhideWhenUsed/>
    <w:rsid w:val="003A6325"/>
    <w:pPr>
      <w:spacing w:after="100"/>
      <w:ind w:left="220"/>
    </w:pPr>
  </w:style>
  <w:style w:type="character" w:styleId="Hyperlink">
    <w:name w:val="Hyperlink"/>
    <w:basedOn w:val="DefaultParagraphFont"/>
    <w:uiPriority w:val="99"/>
    <w:unhideWhenUsed/>
    <w:rsid w:val="003A6325"/>
    <w:rPr>
      <w:color w:val="0563C1" w:themeColor="hyperlink"/>
      <w:u w:val="single"/>
    </w:rPr>
  </w:style>
  <w:style w:type="paragraph" w:styleId="NoSpacing">
    <w:name w:val="No Spacing"/>
    <w:link w:val="NoSpacingChar"/>
    <w:uiPriority w:val="1"/>
    <w:qFormat/>
    <w:rsid w:val="003A6325"/>
    <w:pPr>
      <w:spacing w:after="0" w:line="240" w:lineRule="auto"/>
    </w:pPr>
    <w:rPr>
      <w:rFonts w:eastAsiaTheme="minorEastAsia"/>
      <w:lang w:eastAsia="en-AU"/>
    </w:rPr>
  </w:style>
  <w:style w:type="character" w:customStyle="1" w:styleId="NoSpacingChar">
    <w:name w:val="No Spacing Char"/>
    <w:basedOn w:val="DefaultParagraphFont"/>
    <w:link w:val="NoSpacing"/>
    <w:uiPriority w:val="1"/>
    <w:rsid w:val="003A6325"/>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ajl.fi/@Bin/9760774/PKTK2019_kevyt.x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2507</Words>
  <Characters>14293</Characters>
  <Application>Microsoft Office Word</Application>
  <DocSecurity>0</DocSecurity>
  <Lines>119</Lines>
  <Paragraphs>33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Korkeakoulusarjan sarjakirja 2020</vt:lpstr>
      <vt:lpstr/>
    </vt:vector>
  </TitlesOfParts>
  <Company/>
  <LinksUpToDate>false</LinksUpToDate>
  <CharactersWithSpaces>16767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Korkeakoulusarjan sarjakirja 2020</dc:title>
  <dc:subject/>
  <dc:creator>JK</dc:creator>
  <cp:keywords/>
  <dc:description/>
  <cp:lastModifiedBy>Karppinen, Juuso</cp:lastModifiedBy>
  <cp:revision>4</cp:revision>
  <dcterms:created xsi:type="dcterms:W3CDTF">2019-10-22T11:15:00Z</dcterms:created>
  <dcterms:modified xsi:type="dcterms:W3CDTF">2019-11-27T08:02:00Z</dcterms:modified>
</cp:coreProperties>
</file>